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006" w:type="dxa"/>
        <w:jc w:val="center"/>
        <w:tblLayout w:type="fixed"/>
        <w:tblCellMar>
          <w:top w:w="0" w:type="dxa"/>
          <w:left w:w="108" w:type="dxa"/>
          <w:bottom w:w="0" w:type="dxa"/>
          <w:right w:w="108" w:type="dxa"/>
        </w:tblCellMar>
      </w:tblPr>
      <w:tblGrid>
        <w:gridCol w:w="7133"/>
        <w:gridCol w:w="1873"/>
      </w:tblGrid>
      <w:tr>
        <w:tblPrEx>
          <w:tblCellMar>
            <w:top w:w="0" w:type="dxa"/>
            <w:left w:w="108" w:type="dxa"/>
            <w:bottom w:w="0" w:type="dxa"/>
            <w:right w:w="108" w:type="dxa"/>
          </w:tblCellMar>
        </w:tblPrEx>
        <w:trPr>
          <w:trHeight w:val="2498" w:hRule="atLeast"/>
          <w:jc w:val="center"/>
        </w:trPr>
        <w:tc>
          <w:tcPr>
            <w:tcW w:w="71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20" w:lineRule="exact"/>
              <w:ind w:left="0" w:leftChars="0" w:right="0" w:rightChars="0" w:firstLine="0" w:firstLineChars="0"/>
              <w:jc w:val="distribute"/>
              <w:textAlignment w:val="auto"/>
              <w:outlineLvl w:val="9"/>
              <w:rPr>
                <w:rFonts w:hint="eastAsia" w:eastAsia="方正大标宋简体" w:cs="方正大标宋简体"/>
                <w:color w:val="FFFFFF" w:themeColor="background1"/>
                <w:w w:val="70"/>
                <w:sz w:val="90"/>
                <w:szCs w:val="90"/>
                <w:lang w:val="en-US" w:eastAsia="zh-CN"/>
                <w14:textFill>
                  <w14:solidFill>
                    <w14:schemeClr w14:val="bg1"/>
                  </w14:solidFill>
                </w14:textFill>
              </w:rPr>
            </w:pPr>
            <w:r>
              <w:rPr>
                <w:rFonts w:hint="default"/>
                <w:color w:val="FFFFFF" w:themeColor="background1"/>
                <w:sz w:val="90"/>
                <w14:textFill>
                  <w14:solidFill>
                    <w14:schemeClr w14:val="bg1"/>
                  </w14:solidFill>
                </w14:textFill>
              </w:rPr>
              <mc:AlternateContent>
                <mc:Choice Requires="wps">
                  <w:drawing>
                    <wp:anchor distT="0" distB="0" distL="114300" distR="114300" simplePos="0" relativeHeight="251660288" behindDoc="0" locked="0" layoutInCell="1" allowOverlap="1">
                      <wp:simplePos x="0" y="0"/>
                      <wp:positionH relativeFrom="column">
                        <wp:posOffset>-31750</wp:posOffset>
                      </wp:positionH>
                      <wp:positionV relativeFrom="paragraph">
                        <wp:posOffset>-484505</wp:posOffset>
                      </wp:positionV>
                      <wp:extent cx="1851660" cy="374650"/>
                      <wp:effectExtent l="0" t="0" r="15240" b="6350"/>
                      <wp:wrapNone/>
                      <wp:docPr id="3" name="文本框 3"/>
                      <wp:cNvGraphicFramePr/>
                      <a:graphic xmlns:a="http://schemas.openxmlformats.org/drawingml/2006/main">
                        <a:graphicData uri="http://schemas.microsoft.com/office/word/2010/wordprocessingShape">
                          <wps:wsp>
                            <wps:cNvSpPr txBox="true"/>
                            <wps:spPr>
                              <a:xfrm>
                                <a:off x="1024255" y="1018540"/>
                                <a:ext cx="1851660" cy="3746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Bdr>
                                      <w:top w:val="none" w:color="auto" w:sz="0" w:space="0"/>
                                      <w:left w:val="none" w:color="auto" w:sz="0" w:space="0"/>
                                      <w:bottom w:val="none" w:color="auto" w:sz="0" w:space="0"/>
                                      <w:right w:val="none" w:color="auto" w:sz="0" w:space="0"/>
                                      <w:between w:val="none" w:color="auto" w:sz="0" w:space="0"/>
                                    </w:pBdr>
                                    <w:rPr>
                                      <w:rFonts w:hint="default" w:ascii="Times New Roman" w:hAnsi="Times New Roman" w:cs="Times New Roman" w:eastAsiaTheme="minorEastAsia"/>
                                      <w:sz w:val="32"/>
                                      <w:szCs w:val="32"/>
                                      <w:lang w:val="en-US" w:eastAsia="zh-CN"/>
                                    </w:rPr>
                                  </w:pPr>
                                  <w:r>
                                    <w:rPr>
                                      <w:rFonts w:hint="default" w:ascii="Times New Roman" w:hAnsi="Times New Roman" w:cs="Times New Roman"/>
                                      <w:sz w:val="32"/>
                                      <w:szCs w:val="32"/>
                                      <w:lang w:val="en-US" w:eastAsia="zh-CN"/>
                                    </w:rPr>
                                    <w:t>HNPR-2025-08008</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5pt;margin-top:-38.15pt;height:29.5pt;width:145.8pt;z-index:251660288;mso-width-relative:page;mso-height-relative:page;" fillcolor="#FFFFFF [3201]" filled="t" stroked="f" coordsize="21600,21600" o:gfxdata="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MORBKLX&#10;AAAACgEAAA8AAAAAAAAAAQAgAAAAOAAAAGRycy9kb3ducmV2LnhtbFBLAQIUABQAAAAIAIdO4kBV&#10;5CnKRAIAAF8EAAAOAAAAAAAAAAEAIAAAADwBAABkcnMvZTJvRG9jLnhtbFBLBQYAAAAABgAGAFkB&#10;AADyBQAAAAA=&#10;">
                      <v:fill on="t" focussize="0,0"/>
                      <v:stroke on="f" weight="0.5pt"/>
                      <v:imagedata o:title=""/>
                      <o:lock v:ext="edit" aspectratio="f"/>
                      <v:textbox>
                        <w:txbxContent>
                          <w:p>
                            <w:pPr>
                              <w:pBdr>
                                <w:top w:val="none" w:color="auto" w:sz="0" w:space="0"/>
                                <w:left w:val="none" w:color="auto" w:sz="0" w:space="0"/>
                                <w:bottom w:val="none" w:color="auto" w:sz="0" w:space="0"/>
                                <w:right w:val="none" w:color="auto" w:sz="0" w:space="0"/>
                                <w:between w:val="none" w:color="auto" w:sz="0" w:space="0"/>
                              </w:pBdr>
                              <w:rPr>
                                <w:rFonts w:hint="default" w:ascii="Times New Roman" w:hAnsi="Times New Roman" w:cs="Times New Roman" w:eastAsiaTheme="minorEastAsia"/>
                                <w:sz w:val="32"/>
                                <w:szCs w:val="32"/>
                                <w:lang w:val="en-US" w:eastAsia="zh-CN"/>
                              </w:rPr>
                            </w:pPr>
                            <w:r>
                              <w:rPr>
                                <w:rFonts w:hint="default" w:ascii="Times New Roman" w:hAnsi="Times New Roman" w:cs="Times New Roman"/>
                                <w:sz w:val="32"/>
                                <w:szCs w:val="32"/>
                                <w:lang w:val="en-US" w:eastAsia="zh-CN"/>
                              </w:rPr>
                              <w:t>HNPR-2025-08008</w:t>
                            </w:r>
                          </w:p>
                        </w:txbxContent>
                      </v:textbox>
                    </v:shape>
                  </w:pict>
                </mc:Fallback>
              </mc:AlternateContent>
            </w:r>
            <w:r>
              <w:rPr>
                <w:rFonts w:hint="eastAsia" w:eastAsia="方正大标宋简体" w:cs="方正大标宋简体"/>
                <w:color w:val="FFFFFF" w:themeColor="background1"/>
                <w:w w:val="70"/>
                <w:sz w:val="90"/>
                <w:szCs w:val="90"/>
                <w14:textFill>
                  <w14:solidFill>
                    <w14:schemeClr w14:val="bg1"/>
                  </w14:solidFill>
                </w14:textFill>
              </w:rPr>
              <w:t>湖南省民政厅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20" w:lineRule="exact"/>
              <w:ind w:left="0" w:leftChars="0" w:right="0" w:rightChars="0" w:firstLine="0" w:firstLineChars="0"/>
              <w:jc w:val="distribute"/>
              <w:textAlignment w:val="auto"/>
              <w:outlineLvl w:val="9"/>
              <w:rPr>
                <w:rFonts w:hint="eastAsia" w:eastAsia="方正大标宋简体" w:cs="方正大标宋简体"/>
                <w:color w:val="FFFFFF" w:themeColor="background1"/>
                <w:w w:val="70"/>
                <w:sz w:val="90"/>
                <w:szCs w:val="90"/>
                <w14:textFill>
                  <w14:solidFill>
                    <w14:schemeClr w14:val="bg1"/>
                  </w14:solidFill>
                </w14:textFill>
              </w:rPr>
            </w:pPr>
            <w:r>
              <w:rPr>
                <w:rFonts w:hint="eastAsia" w:eastAsia="方正大标宋简体" w:cs="方正大标宋简体"/>
                <w:color w:val="FFFFFF" w:themeColor="background1"/>
                <w:w w:val="70"/>
                <w:sz w:val="90"/>
                <w:szCs w:val="90"/>
                <w14:textFill>
                  <w14:solidFill>
                    <w14:schemeClr w14:val="bg1"/>
                  </w14:solidFill>
                </w14:textFill>
              </w:rPr>
              <w:t>湖南省</w:t>
            </w:r>
            <w:r>
              <w:rPr>
                <w:rFonts w:hint="eastAsia" w:eastAsia="方正大标宋简体" w:cs="方正大标宋简体"/>
                <w:color w:val="FFFFFF" w:themeColor="background1"/>
                <w:w w:val="70"/>
                <w:sz w:val="90"/>
                <w:szCs w:val="90"/>
                <w:lang w:eastAsia="zh-CN"/>
                <w14:textFill>
                  <w14:solidFill>
                    <w14:schemeClr w14:val="bg1"/>
                  </w14:solidFill>
                </w14:textFill>
              </w:rPr>
              <w:t>发展和改革委员会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20" w:lineRule="exact"/>
              <w:ind w:left="0" w:leftChars="0" w:right="0" w:rightChars="0" w:firstLine="0" w:firstLineChars="0"/>
              <w:jc w:val="distribute"/>
              <w:textAlignment w:val="auto"/>
              <w:outlineLvl w:val="9"/>
              <w:rPr>
                <w:rFonts w:hint="default" w:eastAsia="方正大标宋简体" w:cs="方正大标宋简体"/>
                <w:color w:val="FFFFFF" w:themeColor="background1"/>
                <w:w w:val="70"/>
                <w:sz w:val="90"/>
                <w:szCs w:val="90"/>
                <w:lang w:val="en-US" w:eastAsia="zh-CN"/>
                <w14:textFill>
                  <w14:solidFill>
                    <w14:schemeClr w14:val="bg1"/>
                  </w14:solidFill>
                </w14:textFill>
              </w:rPr>
            </w:pPr>
            <w:r>
              <w:rPr>
                <w:rFonts w:hint="default" w:eastAsia="方正大标宋简体" w:cs="方正大标宋简体"/>
                <w:color w:val="FFFFFF" w:themeColor="background1"/>
                <w:w w:val="70"/>
                <w:sz w:val="90"/>
                <w:szCs w:val="90"/>
                <w:lang w:val="en-US" w:eastAsia="zh-CN"/>
                <w14:textFill>
                  <w14:solidFill>
                    <w14:schemeClr w14:val="bg1"/>
                  </w14:solidFill>
                </w14:textFill>
              </w:rPr>
              <w:t>湖南省</w:t>
            </w:r>
            <w:r>
              <w:rPr>
                <w:rFonts w:hint="eastAsia" w:eastAsia="方正大标宋简体" w:cs="方正大标宋简体"/>
                <w:color w:val="FFFFFF" w:themeColor="background1"/>
                <w:w w:val="70"/>
                <w:sz w:val="90"/>
                <w:szCs w:val="90"/>
                <w:lang w:val="en-US" w:eastAsia="zh-CN"/>
                <w14:textFill>
                  <w14:solidFill>
                    <w14:schemeClr w14:val="bg1"/>
                  </w14:solidFill>
                </w14:textFill>
              </w:rPr>
              <w:t>自然资源厅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20" w:lineRule="exact"/>
              <w:ind w:left="0" w:leftChars="0" w:right="0" w:rightChars="0" w:firstLine="0" w:firstLineChars="0"/>
              <w:jc w:val="distribute"/>
              <w:textAlignment w:val="auto"/>
              <w:outlineLvl w:val="9"/>
              <w:rPr>
                <w:rFonts w:hint="default" w:eastAsia="方正大标宋简体" w:cs="方正大标宋简体"/>
                <w:color w:val="FFFFFF" w:themeColor="background1"/>
                <w:w w:val="70"/>
                <w:sz w:val="90"/>
                <w:szCs w:val="90"/>
                <w:lang w:val="en-US" w:eastAsia="zh-CN"/>
                <w14:textFill>
                  <w14:solidFill>
                    <w14:schemeClr w14:val="bg1"/>
                  </w14:solidFill>
                </w14:textFill>
              </w:rPr>
            </w:pPr>
            <w:r>
              <w:rPr>
                <w:rFonts w:hint="default" w:eastAsia="方正大标宋简体" w:cs="方正大标宋简体"/>
                <w:color w:val="FFFFFF" w:themeColor="background1"/>
                <w:w w:val="70"/>
                <w:sz w:val="90"/>
                <w:szCs w:val="90"/>
                <w:lang w:val="en-US" w:eastAsia="zh-CN"/>
                <w14:textFill>
                  <w14:solidFill>
                    <w14:schemeClr w14:val="bg1"/>
                  </w14:solidFill>
                </w14:textFill>
              </w:rPr>
              <w:t>湖南省</w:t>
            </w:r>
            <w:r>
              <w:rPr>
                <w:rFonts w:hint="eastAsia" w:eastAsia="方正大标宋简体" w:cs="方正大标宋简体"/>
                <w:color w:val="FFFFFF" w:themeColor="background1"/>
                <w:w w:val="70"/>
                <w:sz w:val="90"/>
                <w:szCs w:val="90"/>
                <w:lang w:val="en-US" w:eastAsia="zh-CN"/>
                <w14:textFill>
                  <w14:solidFill>
                    <w14:schemeClr w14:val="bg1"/>
                  </w14:solidFill>
                </w14:textFill>
              </w:rPr>
              <w:t>林业局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20" w:lineRule="exact"/>
              <w:ind w:left="0" w:leftChars="0" w:right="0" w:rightChars="0" w:firstLine="0" w:firstLineChars="0"/>
              <w:jc w:val="distribute"/>
              <w:textAlignment w:val="auto"/>
              <w:outlineLvl w:val="9"/>
              <w:rPr>
                <w:rFonts w:hint="default"/>
                <w:color w:val="FFFFFF" w:themeColor="background1"/>
                <w14:textFill>
                  <w14:solidFill>
                    <w14:schemeClr w14:val="bg1"/>
                  </w14:solidFill>
                </w14:textFill>
              </w:rPr>
            </w:pPr>
            <w:r>
              <w:rPr>
                <w:rFonts w:hint="default" w:eastAsia="方正大标宋简体" w:cs="方正大标宋简体"/>
                <w:color w:val="FFFFFF" w:themeColor="background1"/>
                <w:w w:val="70"/>
                <w:sz w:val="90"/>
                <w:szCs w:val="90"/>
                <w:lang w:val="en-US" w:eastAsia="zh-CN"/>
                <w14:textFill>
                  <w14:solidFill>
                    <w14:schemeClr w14:val="bg1"/>
                  </w14:solidFill>
                </w14:textFill>
              </w:rPr>
              <w:t>湖南省市场监督管理局</w:t>
            </w:r>
          </w:p>
        </w:tc>
        <w:tc>
          <w:tcPr>
            <w:tcW w:w="1873" w:type="dxa"/>
            <w:tcMar>
              <w:left w:w="0" w:type="dxa"/>
              <w:right w:w="0" w:type="dxa"/>
            </w:tcMar>
            <w:vAlign w:val="center"/>
          </w:tcPr>
          <w:p>
            <w:pPr>
              <w:keepNext w:val="0"/>
              <w:keepLines w:val="0"/>
              <w:suppressLineNumbers w:val="0"/>
              <w:spacing w:before="0" w:beforeAutospacing="0" w:after="0" w:afterAutospacing="0"/>
              <w:ind w:left="0" w:right="0"/>
              <w:jc w:val="center"/>
              <w:rPr>
                <w:rFonts w:hint="default" w:eastAsia="方正大标宋简体"/>
                <w:color w:val="FFFFFF" w:themeColor="background1"/>
                <w:sz w:val="90"/>
                <w:szCs w:val="90"/>
                <w14:textFill>
                  <w14:solidFill>
                    <w14:schemeClr w14:val="bg1"/>
                  </w14:solidFill>
                </w14:textFill>
              </w:rPr>
            </w:pPr>
            <w:r>
              <w:rPr>
                <w:rFonts w:hint="eastAsia" w:eastAsia="方正大标宋简体" w:cs="方正大标宋简体"/>
                <w:color w:val="FFFFFF" w:themeColor="background1"/>
                <w:spacing w:val="95"/>
                <w:kern w:val="0"/>
                <w:sz w:val="84"/>
                <w:szCs w:val="84"/>
                <w:fitText w:val="1871" w:id="1795097882"/>
                <w14:textFill>
                  <w14:solidFill>
                    <w14:schemeClr w14:val="bg1"/>
                  </w14:solidFill>
                </w14:textFill>
              </w:rPr>
              <w:t>文</w:t>
            </w:r>
            <w:r>
              <w:rPr>
                <w:rFonts w:hint="eastAsia" w:eastAsia="方正大标宋简体" w:cs="方正大标宋简体"/>
                <w:color w:val="FFFFFF" w:themeColor="background1"/>
                <w:spacing w:val="0"/>
                <w:kern w:val="0"/>
                <w:sz w:val="84"/>
                <w:szCs w:val="84"/>
                <w:fitText w:val="1871" w:id="1795097882"/>
                <w14:textFill>
                  <w14:solidFill>
                    <w14:schemeClr w14:val="bg1"/>
                  </w14:solidFill>
                </w14:textFill>
              </w:rPr>
              <w:t>件</w:t>
            </w:r>
          </w:p>
        </w:tc>
      </w:tr>
    </w:tbl>
    <w:p>
      <w:pPr>
        <w:jc w:val="center"/>
        <w:rPr>
          <w:rFonts w:eastAsia="黑体"/>
        </w:rPr>
      </w:pPr>
    </w:p>
    <w:p>
      <w:pPr>
        <w:jc w:val="center"/>
        <w:rPr>
          <w:rFonts w:eastAsia="黑体"/>
        </w:rPr>
      </w:pPr>
    </w:p>
    <w:tbl>
      <w:tblPr>
        <w:tblStyle w:val="10"/>
        <w:tblW w:w="906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906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20" w:lineRule="exact"/>
              <w:ind w:left="0" w:leftChars="0" w:right="0" w:rightChars="0" w:firstLine="0" w:firstLineChars="0"/>
              <w:jc w:val="center"/>
              <w:textAlignment w:val="auto"/>
              <w:outlineLvl w:val="9"/>
              <w:rPr>
                <w:rFonts w:hint="default" w:eastAsia="仿宋_GB2312"/>
              </w:rPr>
            </w:pPr>
            <w:bookmarkStart w:id="0" w:name="_GoBack"/>
            <w:r>
              <w:rPr>
                <w:rFonts w:hint="eastAsia" w:eastAsia="仿宋_GB2312" w:cs="仿宋_GB2312"/>
                <w:sz w:val="32"/>
                <w:szCs w:val="32"/>
              </w:rPr>
              <w:t>湘民发〔</w:t>
            </w:r>
            <w:r>
              <w:rPr>
                <w:rFonts w:hint="eastAsia" w:asciiTheme="minorEastAsia" w:hAnsiTheme="minorEastAsia" w:eastAsiaTheme="minorEastAsia" w:cstheme="minorEastAsia"/>
                <w:sz w:val="32"/>
                <w:szCs w:val="32"/>
              </w:rPr>
              <w:t>202</w:t>
            </w:r>
            <w:r>
              <w:rPr>
                <w:rFonts w:hint="eastAsia" w:asciiTheme="minorEastAsia" w:hAnsiTheme="minorEastAsia" w:cstheme="minorEastAsia"/>
                <w:sz w:val="32"/>
                <w:szCs w:val="32"/>
                <w:lang w:val="en-US" w:eastAsia="zh-CN"/>
              </w:rPr>
              <w:t>5</w:t>
            </w:r>
            <w:r>
              <w:rPr>
                <w:rFonts w:hint="eastAsia" w:eastAsia="仿宋_GB2312" w:cs="仿宋_GB2312"/>
                <w:sz w:val="32"/>
                <w:szCs w:val="32"/>
              </w:rPr>
              <w:t>〕</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cstheme="minorEastAsia"/>
                <w:sz w:val="32"/>
                <w:szCs w:val="32"/>
                <w:lang w:val="en-US" w:eastAsia="zh-CN"/>
              </w:rPr>
              <w:t>8号</w:t>
            </w:r>
            <w:bookmarkEnd w:id="0"/>
          </w:p>
        </w:tc>
      </w:tr>
    </w:tbl>
    <w:p>
      <w:pPr>
        <w:spacing w:line="400" w:lineRule="exact"/>
        <w:jc w:val="center"/>
        <w:rPr>
          <w:rFonts w:eastAsia="华文中宋"/>
          <w:b/>
          <w:bCs/>
          <w:w w:val="90"/>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default" w:ascii="Times New Roman" w:hAnsi="Times New Roman" w:cs="Times New Roman"/>
        </w:rPr>
      </w:pPr>
    </w:p>
    <w:p>
      <w:pPr>
        <w:keepNext w:val="0"/>
        <w:keepLines w:val="0"/>
        <w:widowControl w:val="0"/>
        <w:suppressLineNumbers w:val="0"/>
        <w:spacing w:before="0" w:beforeAutospacing="0" w:after="0" w:afterAutospacing="0" w:line="580" w:lineRule="exact"/>
        <w:ind w:left="0" w:right="0"/>
        <w:jc w:val="center"/>
        <w:rPr>
          <w:rFonts w:hint="default" w:ascii="Times New Roman" w:hAnsi="Times New Roman" w:eastAsia="方正小标宋简体" w:cs="Times New Roman"/>
          <w:color w:val="000000" w:themeColor="text1"/>
          <w:sz w:val="44"/>
          <w:szCs w:val="44"/>
          <w:lang w:val="en-US"/>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bidi="ar"/>
          <w14:textFill>
            <w14:solidFill>
              <w14:schemeClr w14:val="tx1"/>
            </w14:solidFill>
          </w14:textFill>
        </w:rPr>
        <w:t>关于印发《湖南省经营性公墓年度检查</w:t>
      </w:r>
    </w:p>
    <w:p>
      <w:pPr>
        <w:keepNext w:val="0"/>
        <w:keepLines w:val="0"/>
        <w:widowControl w:val="0"/>
        <w:suppressLineNumbers w:val="0"/>
        <w:spacing w:before="0" w:beforeAutospacing="0" w:after="0" w:afterAutospacing="0" w:line="580" w:lineRule="exact"/>
        <w:ind w:left="0" w:right="0"/>
        <w:jc w:val="center"/>
        <w:rPr>
          <w:rFonts w:hint="default" w:ascii="Times New Roman" w:hAnsi="Times New Roman" w:eastAsia="方正小标宋简体" w:cs="Times New Roman"/>
          <w:color w:val="000000" w:themeColor="text1"/>
          <w:sz w:val="44"/>
          <w:szCs w:val="44"/>
          <w:lang w:val="en-US"/>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bidi="ar"/>
          <w14:textFill>
            <w14:solidFill>
              <w14:schemeClr w14:val="tx1"/>
            </w14:solidFill>
          </w14:textFill>
        </w:rPr>
        <w:t>工作办法》的通知</w:t>
      </w:r>
    </w:p>
    <w:p>
      <w:pPr>
        <w:keepNext w:val="0"/>
        <w:keepLines w:val="0"/>
        <w:widowControl w:val="0"/>
        <w:suppressLineNumbers w:val="0"/>
        <w:spacing w:before="0" w:beforeAutospacing="0" w:after="0" w:afterAutospacing="0" w:line="580" w:lineRule="exact"/>
        <w:ind w:left="0" w:right="0"/>
        <w:jc w:val="both"/>
        <w:rPr>
          <w:rFonts w:hint="default" w:ascii="Times New Roman" w:hAnsi="Times New Roman" w:eastAsia="仿宋_GB2312" w:cs="Times New Roman"/>
          <w:color w:val="000000" w:themeColor="text1"/>
          <w:kern w:val="0"/>
          <w:sz w:val="32"/>
          <w:szCs w:val="32"/>
          <w:lang w:val="en-US"/>
          <w14:textFill>
            <w14:solidFill>
              <w14:schemeClr w14:val="tx1"/>
            </w14:solidFill>
          </w14:textFill>
        </w:rPr>
      </w:pPr>
    </w:p>
    <w:p>
      <w:pPr>
        <w:pStyle w:val="18"/>
        <w:widowControl/>
        <w:ind w:left="0" w:firstLine="0" w:firstLineChars="0"/>
        <w:rPr>
          <w:rFonts w:hint="default" w:ascii="Times New Roman" w:hAnsi="Times New Roman" w:eastAsia="仿宋_GB2312" w:cs="Times New Roman"/>
          <w:color w:val="000000" w:themeColor="text1"/>
          <w:kern w:val="0"/>
          <w:szCs w:val="32"/>
          <w:lang w:val="en-US"/>
          <w14:textFill>
            <w14:solidFill>
              <w14:schemeClr w14:val="tx1"/>
            </w14:solidFill>
          </w14:textFill>
        </w:rPr>
      </w:pPr>
      <w:r>
        <w:rPr>
          <w:rFonts w:hint="default" w:ascii="Times New Roman" w:hAnsi="Times New Roman" w:eastAsia="仿宋_GB2312" w:cs="Times New Roman"/>
          <w:color w:val="000000" w:themeColor="text1"/>
          <w:kern w:val="0"/>
          <w:szCs w:val="32"/>
          <w:lang w:val="en-US" w:eastAsia="zh-CN"/>
          <w14:textFill>
            <w14:solidFill>
              <w14:schemeClr w14:val="tx1"/>
            </w14:solidFill>
          </w14:textFill>
        </w:rPr>
        <w:t>各市州、县市区民政局、</w:t>
      </w:r>
      <w:r>
        <w:rPr>
          <w:rFonts w:hint="eastAsia" w:ascii="Times New Roman" w:hAnsi="Times New Roman" w:eastAsia="仿宋_GB2312" w:cs="Times New Roman"/>
          <w:color w:val="000000" w:themeColor="text1"/>
          <w:kern w:val="0"/>
          <w:szCs w:val="32"/>
          <w:lang w:val="en-US" w:eastAsia="zh-CN"/>
          <w14:textFill>
            <w14:solidFill>
              <w14:schemeClr w14:val="tx1"/>
            </w14:solidFill>
          </w14:textFill>
        </w:rPr>
        <w:t>发展改革</w:t>
      </w:r>
      <w:r>
        <w:rPr>
          <w:rFonts w:hint="default" w:ascii="Times New Roman" w:hAnsi="Times New Roman" w:eastAsia="仿宋_GB2312" w:cs="Times New Roman"/>
          <w:color w:val="000000" w:themeColor="text1"/>
          <w:kern w:val="0"/>
          <w:szCs w:val="32"/>
          <w:lang w:val="en-US" w:eastAsia="zh-CN"/>
          <w14:textFill>
            <w14:solidFill>
              <w14:schemeClr w14:val="tx1"/>
            </w14:solidFill>
          </w14:textFill>
        </w:rPr>
        <w:t>委（局）、自然资源主管部门、林业主管部门、市场监督管理局：</w:t>
      </w:r>
    </w:p>
    <w:p>
      <w:pPr>
        <w:keepNext w:val="0"/>
        <w:keepLines w:val="0"/>
        <w:widowControl w:val="0"/>
        <w:suppressLineNumbers w:val="0"/>
        <w:spacing w:before="0" w:beforeAutospacing="0" w:after="0" w:afterAutospacing="0" w:line="580" w:lineRule="exact"/>
        <w:ind w:left="0" w:right="0" w:firstLine="640" w:firstLineChars="200"/>
        <w:jc w:val="both"/>
        <w:rPr>
          <w:rFonts w:hint="default" w:ascii="Times New Roman" w:hAnsi="Times New Roman" w:eastAsia="仿宋_GB2312" w:cs="Times New Roman"/>
          <w:color w:val="000000" w:themeColor="text1"/>
          <w:kern w:val="0"/>
          <w:sz w:val="32"/>
          <w:szCs w:val="32"/>
          <w:lang w:val="en-US"/>
          <w14:textFill>
            <w14:solidFill>
              <w14:schemeClr w14:val="tx1"/>
            </w14:solidFill>
          </w14:textFill>
        </w:rPr>
      </w:pPr>
      <w:r>
        <w:rPr>
          <w:rFonts w:hint="default" w:ascii="Times New Roman" w:hAnsi="Times New Roman" w:eastAsia="仿宋_GB2312" w:cs="Times New Roman"/>
          <w:color w:val="000000" w:themeColor="text1"/>
          <w:kern w:val="0"/>
          <w:sz w:val="32"/>
          <w:szCs w:val="32"/>
          <w:lang w:val="en-US" w:eastAsia="zh-CN" w:bidi="ar"/>
          <w14:textFill>
            <w14:solidFill>
              <w14:schemeClr w14:val="tx1"/>
            </w14:solidFill>
          </w14:textFill>
        </w:rPr>
        <w:t>现将《湖南省经营性公墓年度检查工作办法》印发给你们，请结合工作实际，认真贯彻执行。</w:t>
      </w:r>
    </w:p>
    <w:p>
      <w:pPr>
        <w:pStyle w:val="18"/>
        <w:widowControl/>
        <w:ind w:left="0" w:firstLine="640"/>
        <w:rPr>
          <w:rFonts w:hint="default" w:ascii="Times New Roman" w:hAnsi="Times New Roman" w:cs="Times New Roman"/>
          <w:color w:val="000000" w:themeColor="text1"/>
          <w:lang w:val="en-US"/>
          <w14:textFill>
            <w14:solidFill>
              <w14:schemeClr w14:val="tx1"/>
            </w14:solidFill>
          </w14:textFill>
        </w:rPr>
      </w:pPr>
    </w:p>
    <w:p>
      <w:pPr>
        <w:pStyle w:val="18"/>
        <w:widowControl/>
        <w:ind w:left="0" w:firstLine="640"/>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eastAsia="仿宋_GB2312" w:cs="Times New Roman"/>
          <w:color w:val="000000" w:themeColor="text1"/>
          <w:kern w:val="0"/>
          <w:szCs w:val="32"/>
          <w:lang w:eastAsia="zh-CN"/>
          <w14:textFill>
            <w14:solidFill>
              <w14:schemeClr w14:val="tx1"/>
            </w14:solidFill>
          </w14:textFill>
        </w:rPr>
        <w:t>附件：湖南省经营性公墓年度检查工作办法</w:t>
      </w:r>
    </w:p>
    <w:p>
      <w:pPr>
        <w:pStyle w:val="18"/>
        <w:widowControl/>
        <w:ind w:left="0" w:firstLine="640"/>
        <w:rPr>
          <w:rFonts w:hint="default" w:ascii="Times New Roman" w:hAnsi="Times New Roman" w:cs="Times New Roman"/>
          <w:color w:val="000000" w:themeColor="text1"/>
          <w:lang w:val="en-US"/>
          <w14:textFill>
            <w14:solidFill>
              <w14:schemeClr w14:val="tx1"/>
            </w14:solidFill>
          </w14:textFill>
        </w:rPr>
      </w:pPr>
    </w:p>
    <w:tbl>
      <w:tblPr>
        <w:tblStyle w:val="10"/>
        <w:tblW w:w="8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0"/>
        <w:gridCol w:w="4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2" w:hRule="atLeast"/>
        </w:trPr>
        <w:tc>
          <w:tcPr>
            <w:tcW w:w="4570" w:type="dxa"/>
            <w:shd w:val="clear" w:color="auto" w:fill="auto"/>
            <w:vAlign w:val="center"/>
          </w:tcPr>
          <w:p>
            <w:pPr>
              <w:keepNext w:val="0"/>
              <w:keepLines w:val="0"/>
              <w:widowControl w:val="0"/>
              <w:suppressLineNumbers w:val="0"/>
              <w:spacing w:before="0" w:beforeAutospacing="0" w:after="0" w:afterAutospacing="0" w:line="580" w:lineRule="exact"/>
              <w:ind w:left="0" w:right="0"/>
              <w:jc w:val="center"/>
              <w:rPr>
                <w:rFonts w:hint="default" w:ascii="Times New Roman" w:hAnsi="Times New Roman" w:eastAsia="仿宋_GB2312" w:cs="Times New Roman"/>
                <w:color w:val="000000" w:themeColor="text1"/>
                <w:sz w:val="32"/>
                <w:szCs w:val="24"/>
                <w:lang w:val="en-US" w:eastAsia="en-US"/>
                <w14:textFill>
                  <w14:solidFill>
                    <w14:schemeClr w14:val="tx1"/>
                  </w14:solidFill>
                </w14:textFill>
              </w:rPr>
            </w:pPr>
            <w:r>
              <w:rPr>
                <w:rFonts w:hint="default" w:ascii="Times New Roman" w:hAnsi="Times New Roman" w:eastAsia="仿宋_GB2312" w:cs="Times New Roman"/>
                <w:color w:val="000000" w:themeColor="text1"/>
                <w:kern w:val="2"/>
                <w:sz w:val="32"/>
                <w:szCs w:val="24"/>
                <w:lang w:val="en-US" w:eastAsia="en-US" w:bidi="ar"/>
                <w14:textFill>
                  <w14:solidFill>
                    <w14:schemeClr w14:val="tx1"/>
                  </w14:solidFill>
                </w14:textFill>
              </w:rPr>
              <w:t>湖南省民政厅</w:t>
            </w:r>
          </w:p>
        </w:tc>
        <w:tc>
          <w:tcPr>
            <w:tcW w:w="4412" w:type="dxa"/>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default" w:ascii="Times New Roman" w:hAnsi="Times New Roman" w:eastAsia="仿宋_GB2312" w:cs="Times New Roman"/>
                <w:color w:val="000000" w:themeColor="text1"/>
                <w:sz w:val="32"/>
                <w:szCs w:val="24"/>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湖南省发展</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和</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改革委员会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2" w:hRule="atLeast"/>
        </w:trPr>
        <w:tc>
          <w:tcPr>
            <w:tcW w:w="4570" w:type="dxa"/>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default" w:ascii="Times New Roman" w:hAnsi="Times New Roman" w:eastAsia="仿宋_GB2312" w:cs="Times New Roman"/>
                <w:color w:val="000000" w:themeColor="text1"/>
                <w:sz w:val="32"/>
                <w:szCs w:val="24"/>
                <w:lang w:val="en-US" w:eastAsia="en-US"/>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湖南省自然资源厅</w:t>
            </w:r>
          </w:p>
        </w:tc>
        <w:tc>
          <w:tcPr>
            <w:tcW w:w="4412" w:type="dxa"/>
            <w:shd w:val="clear" w:color="auto" w:fill="auto"/>
            <w:vAlign w:val="center"/>
          </w:tcPr>
          <w:p>
            <w:pPr>
              <w:keepNext w:val="0"/>
              <w:keepLines w:val="0"/>
              <w:widowControl w:val="0"/>
              <w:suppressLineNumbers w:val="0"/>
              <w:spacing w:before="0" w:beforeAutospacing="0" w:after="0" w:afterAutospacing="0" w:line="580" w:lineRule="exact"/>
              <w:ind w:left="0" w:right="0"/>
              <w:jc w:val="center"/>
              <w:rPr>
                <w:rFonts w:hint="default" w:ascii="Times New Roman" w:hAnsi="Times New Roman" w:eastAsia="仿宋_GB2312" w:cs="Times New Roman"/>
                <w:color w:val="000000" w:themeColor="text1"/>
                <w:sz w:val="32"/>
                <w:szCs w:val="24"/>
                <w:lang w:val="en-US" w:eastAsia="en-US"/>
                <w14:textFill>
                  <w14:solidFill>
                    <w14:schemeClr w14:val="tx1"/>
                  </w14:solidFill>
                </w14:textFill>
              </w:rPr>
            </w:pPr>
            <w:r>
              <w:rPr>
                <w:rFonts w:hint="default" w:ascii="Times New Roman" w:hAnsi="Times New Roman" w:eastAsia="仿宋_GB2312" w:cs="Times New Roman"/>
                <w:color w:val="000000" w:themeColor="text1"/>
                <w:kern w:val="2"/>
                <w:sz w:val="32"/>
                <w:szCs w:val="24"/>
                <w:lang w:val="en-US" w:eastAsia="en-US" w:bidi="ar"/>
                <w14:textFill>
                  <w14:solidFill>
                    <w14:schemeClr w14:val="tx1"/>
                  </w14:solidFill>
                </w14:textFill>
              </w:rPr>
              <w:t>湖南省林业厅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1" w:hRule="atLeast"/>
        </w:trPr>
        <w:tc>
          <w:tcPr>
            <w:tcW w:w="8982" w:type="dxa"/>
            <w:gridSpan w:val="2"/>
            <w:shd w:val="clear" w:color="auto" w:fill="auto"/>
            <w:vAlign w:val="center"/>
          </w:tcPr>
          <w:p>
            <w:pPr>
              <w:keepNext w:val="0"/>
              <w:keepLines w:val="0"/>
              <w:widowControl w:val="0"/>
              <w:suppressLineNumbers w:val="0"/>
              <w:spacing w:before="0" w:beforeAutospacing="0" w:after="0" w:afterAutospacing="0" w:line="576" w:lineRule="exact"/>
              <w:ind w:left="0" w:right="0"/>
              <w:jc w:val="center"/>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湖南省市场监督管理局</w:t>
            </w:r>
          </w:p>
          <w:p>
            <w:pPr>
              <w:keepNext w:val="0"/>
              <w:keepLines w:val="0"/>
              <w:widowControl w:val="0"/>
              <w:suppressLineNumbers w:val="0"/>
              <w:spacing w:before="0" w:beforeAutospacing="0" w:after="0" w:afterAutospacing="0" w:line="576" w:lineRule="exact"/>
              <w:ind w:left="0" w:right="0"/>
              <w:jc w:val="center"/>
              <w:rPr>
                <w:rFonts w:hint="default" w:ascii="Times New Roman" w:hAnsi="Times New Roman" w:eastAsia="仿宋_GB2312" w:cs="Times New Roman"/>
                <w:color w:val="000000" w:themeColor="text1"/>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2025年</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7</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月</w:t>
            </w:r>
            <w:r>
              <w:rPr>
                <w:rFonts w:hint="eastAsia" w:ascii="Times New Roman" w:hAnsi="Times New Roman" w:eastAsia="仿宋_GB2312" w:cs="Times New Roman"/>
                <w:color w:val="000000" w:themeColor="text1"/>
                <w:kern w:val="2"/>
                <w:sz w:val="32"/>
                <w:szCs w:val="32"/>
                <w:lang w:val="en-US" w:eastAsia="zh-CN" w:bidi="ar"/>
                <w14:textFill>
                  <w14:solidFill>
                    <w14:schemeClr w14:val="tx1"/>
                  </w14:solidFill>
                </w14:textFill>
              </w:rPr>
              <w:t>29</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日</w:t>
            </w:r>
          </w:p>
        </w:tc>
      </w:tr>
    </w:tbl>
    <w:p>
      <w:pPr>
        <w:rPr>
          <w:rFonts w:hint="default" w:ascii="Times New Roman" w:hAnsi="Times New Roman" w:eastAsia="方正仿宋简体" w:cs="Times New Roman"/>
          <w:color w:val="000000" w:themeColor="text1"/>
          <w:kern w:val="2"/>
          <w:sz w:val="32"/>
          <w:szCs w:val="22"/>
          <w:lang w:val="en-US" w:eastAsia="zh-CN" w:bidi="ar"/>
          <w14:textFill>
            <w14:solidFill>
              <w14:schemeClr w14:val="tx1"/>
            </w14:solidFill>
          </w14:textFill>
        </w:rPr>
        <w:sectPr>
          <w:footerReference r:id="rId3" w:type="default"/>
          <w:pgSz w:w="11906" w:h="16838"/>
          <w:pgMar w:top="2155" w:right="1474" w:bottom="1361" w:left="1588" w:header="1" w:footer="1418"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suppressLineNumbers w:val="0"/>
        <w:kinsoku/>
        <w:wordWrap w:val="0"/>
        <w:overflowPunct/>
        <w:topLinePunct/>
        <w:bidi w:val="0"/>
        <w:adjustRightInd w:val="0"/>
        <w:snapToGrid w:val="0"/>
        <w:spacing w:before="0" w:beforeAutospacing="0" w:after="0" w:afterAutospacing="0" w:line="580" w:lineRule="exact"/>
        <w:ind w:left="0" w:leftChars="0" w:right="0" w:rightChars="0"/>
        <w:jc w:val="both"/>
        <w:textAlignment w:val="baseline"/>
        <w:outlineLvl w:val="0"/>
        <w:rPr>
          <w:rFonts w:hint="eastAsia" w:ascii="黑体" w:hAnsi="黑体" w:eastAsia="黑体" w:cs="黑体"/>
          <w:color w:val="000000" w:themeColor="text1"/>
          <w:spacing w:val="4"/>
          <w:kern w:val="2"/>
          <w:position w:val="2"/>
          <w:sz w:val="32"/>
          <w:szCs w:val="32"/>
          <w:vertAlign w:val="baseline"/>
          <w:lang w:val="en-US" w:eastAsia="zh-CN" w:bidi="ar"/>
          <w14:textFill>
            <w14:solidFill>
              <w14:schemeClr w14:val="tx1"/>
            </w14:solidFill>
          </w14:textFill>
        </w:rPr>
      </w:pPr>
      <w:r>
        <w:rPr>
          <w:rFonts w:hint="eastAsia" w:ascii="黑体" w:hAnsi="黑体" w:eastAsia="黑体" w:cs="黑体"/>
          <w:color w:val="000000" w:themeColor="text1"/>
          <w:spacing w:val="4"/>
          <w:kern w:val="2"/>
          <w:position w:val="2"/>
          <w:sz w:val="32"/>
          <w:szCs w:val="32"/>
          <w:vertAlign w:val="baseline"/>
          <w:lang w:val="en-US" w:eastAsia="zh-CN" w:bidi="ar"/>
          <w14:textFill>
            <w14:solidFill>
              <w14:schemeClr w14:val="tx1"/>
            </w14:solidFill>
          </w14:textFill>
        </w:rPr>
        <w:t>附件</w:t>
      </w:r>
    </w:p>
    <w:p>
      <w:pPr>
        <w:keepNext w:val="0"/>
        <w:keepLines w:val="0"/>
        <w:pageBreakBefore w:val="0"/>
        <w:widowControl w:val="0"/>
        <w:suppressLineNumbers w:val="0"/>
        <w:kinsoku/>
        <w:wordWrap w:val="0"/>
        <w:overflowPunct/>
        <w:topLinePunct/>
        <w:autoSpaceDE/>
        <w:autoSpaceDN/>
        <w:bidi w:val="0"/>
        <w:adjustRightInd w:val="0"/>
        <w:snapToGrid w:val="0"/>
        <w:spacing w:before="313" w:beforeLines="100" w:beforeAutospacing="0" w:after="0" w:afterAutospacing="0" w:line="580" w:lineRule="exact"/>
        <w:ind w:left="0" w:leftChars="0" w:right="0" w:rightChars="0"/>
        <w:jc w:val="center"/>
        <w:textAlignment w:val="baseline"/>
        <w:outlineLvl w:val="0"/>
        <w:rPr>
          <w:rFonts w:hint="default" w:ascii="Times New Roman" w:hAnsi="Times New Roman" w:eastAsia="方正小标宋简体" w:cs="Times New Roman"/>
          <w:color w:val="000000" w:themeColor="text1"/>
          <w:spacing w:val="4"/>
          <w:kern w:val="2"/>
          <w:position w:val="2"/>
          <w:sz w:val="44"/>
          <w:szCs w:val="44"/>
          <w:vertAlign w:val="baseline"/>
          <w:lang w:val="en-US" w:eastAsia="zh-CN" w:bidi="ar"/>
          <w14:textFill>
            <w14:solidFill>
              <w14:schemeClr w14:val="tx1"/>
            </w14:solidFill>
          </w14:textFill>
        </w:rPr>
      </w:pPr>
      <w:r>
        <w:rPr>
          <w:rFonts w:hint="default" w:ascii="Times New Roman" w:hAnsi="Times New Roman" w:eastAsia="方正小标宋简体" w:cs="Times New Roman"/>
          <w:color w:val="000000" w:themeColor="text1"/>
          <w:spacing w:val="4"/>
          <w:kern w:val="2"/>
          <w:position w:val="2"/>
          <w:sz w:val="44"/>
          <w:szCs w:val="44"/>
          <w:vertAlign w:val="baseline"/>
          <w:lang w:val="en-US" w:eastAsia="zh-CN" w:bidi="ar"/>
          <w14:textFill>
            <w14:solidFill>
              <w14:schemeClr w14:val="tx1"/>
            </w14:solidFill>
          </w14:textFill>
        </w:rPr>
        <w:t>湖南省经营性公墓年度检查工作办法</w:t>
      </w:r>
    </w:p>
    <w:p>
      <w:pPr>
        <w:keepNext w:val="0"/>
        <w:keepLines w:val="0"/>
        <w:pageBreakBefore w:val="0"/>
        <w:widowControl w:val="0"/>
        <w:suppressLineNumbers w:val="0"/>
        <w:kinsoku/>
        <w:wordWrap w:val="0"/>
        <w:overflowPunct/>
        <w:topLinePunct/>
        <w:bidi w:val="0"/>
        <w:adjustRightInd w:val="0"/>
        <w:snapToGrid w:val="0"/>
        <w:spacing w:before="0" w:beforeAutospacing="0" w:after="0" w:afterAutospacing="0" w:line="580" w:lineRule="exact"/>
        <w:ind w:left="0" w:leftChars="0" w:right="0" w:rightChars="0"/>
        <w:jc w:val="center"/>
        <w:textAlignment w:val="baseline"/>
        <w:outlineLvl w:val="0"/>
        <w:rPr>
          <w:rFonts w:hint="default" w:ascii="Times New Roman" w:hAnsi="Times New Roman" w:eastAsia="方正小标宋简体" w:cs="Times New Roman"/>
          <w:color w:val="000000" w:themeColor="text1"/>
          <w:spacing w:val="4"/>
          <w:kern w:val="2"/>
          <w:position w:val="2"/>
          <w:sz w:val="44"/>
          <w:szCs w:val="44"/>
          <w:vertAlign w:val="baseline"/>
          <w:lang w:val="en-US" w:eastAsia="zh-CN" w:bidi="ar"/>
          <w14:textFill>
            <w14:solidFill>
              <w14:schemeClr w14:val="tx1"/>
            </w14:solidFill>
          </w14:textFill>
        </w:rPr>
      </w:pP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60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第一章  总则</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62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第一条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为强化殡葬行业的公益属性，规范经营性公墓年度检查（以下简称年检）工作，加强对经营性公墓建设和经营行为的监督管理，保护土地资源，维护群众合法权益，推动我省殡葬事业高质量发展，根据《殡葬管理条例》《公墓管理暂行办法》《湖南省实施&lt;殡葬管理条例&gt;办法》有关规定，制定本办法。</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62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经营性公墓年检是指民政部门根据法律规定和有关要求，按年度对行政区域内经营性公墓的审批、建设、经营、服务、管理等情况进行行政检查和监督管理的制度。</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62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本办法</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所称的经营性公墓是指经</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湖南省民政厅许可</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设立</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的经营性公墓。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60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第二章  组织实施</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60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第四条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省民政厅负责全省范围内经营性公墓的年检工作，市州民政局</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承担开展</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经营性公墓年检</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的具体工作</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60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第五条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县级以上民政部门应根据法定职责，加强对本行政区域内经营性公墓建设经营情况的日常管理监督。</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第三章  年检内容</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第六条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经营性公墓年检的主要内容包括审批、建设、经营、服务、管理等五个方面。</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第七条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审批方面主要检查：是否依法办理公墓建设审批手续；公墓建设是否符合国土空间规划；是否依法取得土地（林地）使用权证；有无擅自变更行政许可内容（包含公墓名称、法</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定代表人</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、经营主体资格、公墓性质、公墓占地面积、行政许可文号）等。</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第八条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建设方面主要检查：是否严格按批复文件要求建设墓区；有无超出批准用地范围建设墓穴；是否修建超标准墓穴；是否超标准建设墓位（含墓基、墓身、墓碑）；是否按要求建设节地生态安葬墓区；墓区配套设施是否建设齐全；墓区环境是否干净、整洁、庄重等。</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第九条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经营方面主要检查：实行政府管价的殡葬服务项目是否严格按照价格主管部门核定的收费标准进行收费；实行市场调节价的殡葬服务项目是否执行相关文件规定；殡葬服务收费项目和收费标准是否全面实行收费</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网络集中与线下同步</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公示和明码标价制度；</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是否将收费项目合并为墓位（格位）使用费和维护管理费两项，收费目录清单之外无收费；</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是否签订规范合同，约定使用周期和管理费；是否按规定提取使用维护费,专户存储；是否使用规范的骨灰安放证书；有无违规预售墓（格）位；有无限制丧属自带合法丧葬用品；有无出售污染环境的祭祀用品等。</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服务方面主要检查：是否制定标准服务流程和服务规范；是否主动公开服务投诉和监督电话；是否积极开展惠民殡葬和节地生态安葬政策宣传；工作人员是否熟知殡葬服务管理有关法规政策和业务知识；工作人员是否着装整洁、举止得体、细致周到等。</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第十一条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管理方面主要检查：是否建立完善的规章制度；安全管理责任和疫情防控责任是否压实到位；是否建立健全祭扫服务应急预案，是否开展消防安全演练，消防安全设施是否齐备；是否经常性开展安全隐患排查；是否按规定开展殡葬领域突出问题专项整治，加强殡葬行风建设；是否规范管理骨灰安葬档案；有无群众有效投诉或影响较大的负面舆情；有无发生安全责任事故等。</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第十二条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省民政厅根据年检内容制定《湖南省经营性公墓年检评分标准表》，细化、量化评分项目，统一评分标准。</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第四章  年检程序</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第十三条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经营性公墓的年检工作按照下达年检通知、公墓自查、县级初查、市级审核、省级做出结论等程序进行。</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第十四条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经营性公墓每年年检一次，年检时间为每年6月1日至12月31日，当年建成投入使用的经营性公墓，自下一年起参加年检。</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第十五条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各经营性公墓按年检通知要求，及时做好总结、自查工作，按时提交下列材料：</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（一）经营性公墓自查报告；</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（二）经营性公墓年度检查申报表；</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（三）筹建批复的文件复印件；</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（四）经营性公墓证书副本；</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（五）营业执照（副本）或事业单位法人证书（副本）复印件；</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（六）土地（林地）使用批准手续复印件；</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（七）服务项目和收费标准相关材料；</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（八）财务决算报表和上一年度财务审计报告；</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（九）已签订的墓位（含节地生态方式）安葬协议书复印件一份；</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（十）开户银行或财政部门出具的公墓维护管理费专用账户资金证明;</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（十一）上一年度墓位建设情况，预售墓位情况，销售墓位录入全省殡葬管理系统情况资料；</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（十二）其它需要提供的佐证资料。</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第十六条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县（市、区）民政局对业务主管的经营性公墓报送的材料进行初审，发现报送不齐的，一次性告知。</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县（市、区）民政局应当在15日内完成初审，出具初审意见，连同经营性公墓报送的材料，一并报市州民政局。</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第十七条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市州民政局收到县（市、区）民政局报送的经营性公墓材料和初审意见后，对照评分标准进行审查打分，将得分等年检情况在一定范围内公示一定时间，及时处理复查申请后，提出年检意见报省民政厅。审查过程中可会同自然资源、林业、市场监督管理等部门按照涉企行政检查相关规定对经营性公墓实地查验，开展联合检查。</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第十八条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市州民政局业务主管的经营性公墓由市州民政局提出年检意见报省民政厅。</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第十九条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省民政厅对各市州民政局上报的年检意见进行审查，做出年检结论。</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第二十条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经营性公墓年检的结论分为“合格”、“基本合格”、“不合格”三类。</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（一）年检得分为80分及以上的且无“不合格”规定情形的，确定为合格；</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（二）年检得分为60分至79分的且无“不合格”规定情形的，确定为基本合格。</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（三）年检得分在60分（不含）以下的，确定为不合格。</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第二十一条  经营性公墓有下列行为之一的，应确定为不合格；</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（一）未在规定时间内报送年度检查材料或拒不接受检查的；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（二）有炒买炒卖墓穴、擅自扩大墓区面积、擅自变更行政许可事项等违法违规行为的；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（三）群众反复投诉或信访，对反映的合理问题拒不纠正和解决的；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（四）自上次年检结束以来经营管理混乱不能正常开展服务的；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（五）发生重大安全责任事故的；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（六）年检中提供虚假资料；</w:t>
      </w:r>
    </w:p>
    <w:p>
      <w:pPr>
        <w:pStyle w:val="18"/>
        <w:keepNext w:val="0"/>
        <w:keepLines w:val="0"/>
        <w:pageBreakBefore w:val="0"/>
        <w:widowControl/>
        <w:kinsoku/>
        <w:overflowPunct/>
        <w:bidi w:val="0"/>
        <w:spacing w:line="580" w:lineRule="exact"/>
        <w:ind w:left="0" w:leftChars="0" w:right="0" w:rightChars="0" w:firstLine="640"/>
        <w:jc w:val="both"/>
        <w:rPr>
          <w:rFonts w:hint="default" w:ascii="Times New Roman" w:hAnsi="Times New Roman" w:eastAsia="仿宋_GB2312" w:cs="Times New Roman"/>
          <w:color w:val="000000" w:themeColor="text1"/>
          <w:lang w:val="en-US"/>
          <w14:textFill>
            <w14:solidFill>
              <w14:schemeClr w14:val="tx1"/>
            </w14:solidFill>
          </w14:textFill>
        </w:rPr>
      </w:pPr>
      <w:r>
        <w:rPr>
          <w:rFonts w:hint="default" w:ascii="Times New Roman" w:hAnsi="Times New Roman" w:eastAsia="仿宋_GB2312" w:cs="Times New Roman"/>
          <w:color w:val="000000" w:themeColor="text1"/>
          <w:szCs w:val="32"/>
          <w:lang w:eastAsia="zh-CN"/>
          <w14:textFill>
            <w14:solidFill>
              <w14:schemeClr w14:val="tx1"/>
            </w14:solidFill>
          </w14:textFill>
        </w:rPr>
        <w:t>（七）自上次年检结束以来有新增超面积墓位和超高墓碑的；</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（八）有其它违反法律法规行为的。</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w:t>
      </w:r>
      <w:r>
        <w:rPr>
          <w:rFonts w:hint="eastAsia"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五</w:t>
      </w: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章  公示复</w:t>
      </w:r>
      <w:r>
        <w:rPr>
          <w:rFonts w:hint="eastAsia"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查</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第二十二条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市州民政局将年检意见</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通过官方网站、平面媒体等方式</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予以公示。公开的内容包括经营性公墓的名称、地址、法定代表人、年检意见等。公示期不少于5个工作日。</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第二十三条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经营性公墓对年检意见有异议的，可在公示期内向市州民政局书面申请复查。市州民政局自收到书面申请之日起10日内进行书面复查，及时将复查结果告知申请人。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w:t>
      </w:r>
      <w:r>
        <w:rPr>
          <w:rFonts w:hint="eastAsia"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六</w:t>
      </w: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章  结果运用</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第二十四条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经营性公墓年检结论确定为合格、基本合格的，由省民政厅在经营性公墓证书上注明年检结论。</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第二十五条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经营性公墓年检结论确定为基本合格的，由省民政厅提出整改建议，明确整改要求，限期（三个月内）进行整改。</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第二十六条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年检结论确定为不合格的经营性公墓，由省民政厅责令暂停销售墓位并限期整改，公墓单位应当于三个月内向市州民政局提交整改报告，由市州民政局组织验收并向省民政厅提出整改验收意见，经省民政厅复检后在经营性公墓证书上注明年检结论。</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第二十七条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对拒不整改或复检结果仍不符合年检要求的，民政部门联合发改、市场监督管理、自然资源、林业等相关部门按规定作出处罚，依法列入</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企业</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经营异常名录或</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市场监督管理</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严重违法失信名单，并通过国家企业信用信息公示系统等信用信息共享平台公示。涉嫌违法犯罪的，移交有关部门依法处理。</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第二十八条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市州民政局在年检工作结束1个月内，应当将工作总结报省民政厅。</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第二十九条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省民政厅采取书面通报、政府官网公示等多种方式向社会公开经营性公墓年检情况。</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w:t>
      </w:r>
      <w:r>
        <w:rPr>
          <w:rFonts w:hint="eastAsia"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七</w:t>
      </w: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章  监督检查</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各级民政部门应当坚持依法依规、实事求是、客观公正的原则，认真负责地做好年检工作。</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第三十一条</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各经营性公墓应如实报送相关材料，积极配合民政部门开展年检工作。</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第三十二条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各部门相关人员在年检工作中，应当依法行政，不得滥用职权、徇私舞弊。</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第三十三条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省民政厅将通过公开征集线索、实地督导、满意度调查、通报等多种方式，加强对各级执法机构年检工作的监督。</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pP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第</w:t>
      </w:r>
      <w:r>
        <w:rPr>
          <w:rFonts w:hint="eastAsia"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八</w:t>
      </w:r>
      <w:r>
        <w:rPr>
          <w:rFonts w:hint="default" w:ascii="Times New Roman" w:hAnsi="Times New Roman" w:eastAsia="黑体" w:cs="Times New Roman"/>
          <w:color w:val="000000" w:themeColor="text1"/>
          <w:kern w:val="2"/>
          <w:sz w:val="32"/>
          <w:szCs w:val="32"/>
          <w:vertAlign w:val="baseline"/>
          <w:lang w:val="en-US" w:eastAsia="zh-CN" w:bidi="ar"/>
          <w14:textFill>
            <w14:solidFill>
              <w14:schemeClr w14:val="tx1"/>
            </w14:solidFill>
          </w14:textFill>
        </w:rPr>
        <w:t>章  附则</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第三十四条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各市州民政局可结合本地实际，制定市州民政局审批的经营性公墓的年检工作实施办法或细则，但不得增设行政许可、行政处罚或减损公墓合法权益。</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both"/>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第三十五条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市、县民政部门可参照此办法开展城市公益性安葬设施、农村公益性安葬设施年检工作。</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2"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楷体_GB2312" w:cs="Times New Roman"/>
          <w:b/>
          <w:color w:val="000000" w:themeColor="text1"/>
          <w:kern w:val="2"/>
          <w:sz w:val="32"/>
          <w:szCs w:val="32"/>
          <w:vertAlign w:val="baseline"/>
          <w:lang w:val="en-US" w:eastAsia="zh-CN" w:bidi="ar"/>
          <w14:textFill>
            <w14:solidFill>
              <w14:schemeClr w14:val="tx1"/>
            </w14:solidFill>
          </w14:textFill>
        </w:rPr>
        <w:t xml:space="preserve">第三十六条 </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本办法</w:t>
      </w:r>
      <w:r>
        <w:rPr>
          <w:rFonts w:hint="eastAsia"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自公布之日起施行，有效期5年</w:t>
      </w: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附件：1.湖南省经营性公墓年度检查申报表</w:t>
      </w:r>
    </w:p>
    <w:p>
      <w:pPr>
        <w:keepNext w:val="0"/>
        <w:keepLines w:val="0"/>
        <w:pageBreakBefore w:val="0"/>
        <w:widowControl w:val="0"/>
        <w:suppressLineNumbers w:val="0"/>
        <w:kinsoku/>
        <w:overflowPunct/>
        <w:autoSpaceDE w:val="0"/>
        <w:autoSpaceDN w:val="0"/>
        <w:bidi w:val="0"/>
        <w:adjustRightInd w:val="0"/>
        <w:snapToGrid w:val="0"/>
        <w:spacing w:before="0" w:beforeAutospacing="0"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color w:val="000000" w:themeColor="text1"/>
          <w:sz w:val="32"/>
          <w:szCs w:val="32"/>
          <w:vertAlign w:val="baseline"/>
          <w:lang w:val="en-US"/>
          <w14:textFill>
            <w14:solidFill>
              <w14:schemeClr w14:val="tx1"/>
            </w14:solidFill>
          </w14:textFill>
        </w:rPr>
      </w:pPr>
      <w:r>
        <w:rPr>
          <w:rFonts w:hint="default" w:ascii="Times New Roman" w:hAnsi="Times New Roman" w:eastAsia="仿宋_GB2312" w:cs="Times New Roman"/>
          <w:color w:val="000000" w:themeColor="text1"/>
          <w:kern w:val="2"/>
          <w:sz w:val="32"/>
          <w:szCs w:val="32"/>
          <w:vertAlign w:val="baseline"/>
          <w:lang w:val="en-US" w:eastAsia="zh-CN" w:bidi="ar"/>
          <w14:textFill>
            <w14:solidFill>
              <w14:schemeClr w14:val="tx1"/>
            </w14:solidFill>
          </w14:textFill>
        </w:rPr>
        <w:t xml:space="preserve">      2.湖南省经营性公墓年度检查评分标准表</w:t>
      </w:r>
    </w:p>
    <w:p>
      <w:pPr>
        <w:pStyle w:val="18"/>
        <w:widowControl/>
        <w:ind w:left="0" w:firstLine="640"/>
        <w:rPr>
          <w:rFonts w:hint="default" w:ascii="Times New Roman" w:hAnsi="Times New Roman" w:cs="Times New Roman"/>
          <w:color w:val="000000" w:themeColor="text1"/>
          <w:lang w:val="en-US"/>
          <w14:textFill>
            <w14:solidFill>
              <w14:schemeClr w14:val="tx1"/>
            </w14:solidFill>
          </w14:textFill>
        </w:rPr>
      </w:pPr>
    </w:p>
    <w:p>
      <w:pPr>
        <w:pStyle w:val="18"/>
        <w:widowControl/>
        <w:wordWrap w:val="0"/>
        <w:topLinePunct/>
        <w:ind w:left="0" w:firstLine="640"/>
        <w:rPr>
          <w:rFonts w:hint="default" w:ascii="Times New Roman" w:hAnsi="Times New Roman" w:cs="Times New Roman"/>
          <w:color w:val="000000" w:themeColor="text1"/>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ind w:left="0" w:right="0"/>
        <w:jc w:val="left"/>
        <w:rPr>
          <w:rFonts w:hint="default" w:ascii="Times New Roman" w:hAnsi="Times New Roman" w:eastAsia="黑体" w:cs="Times New Roman"/>
          <w:color w:val="000000" w:themeColor="text1"/>
          <w:sz w:val="32"/>
          <w:szCs w:val="32"/>
          <w:lang w:val="en-US"/>
          <w14:textFill>
            <w14:solidFill>
              <w14:schemeClr w14:val="tx1"/>
            </w14:solidFill>
          </w14:textFill>
        </w:rPr>
      </w:pPr>
      <w:r>
        <w:rPr>
          <w:rFonts w:hint="default" w:ascii="Times New Roman" w:hAnsi="Times New Roman" w:eastAsia="仿宋" w:cs="Times New Roman"/>
          <w:color w:val="000000" w:themeColor="text1"/>
          <w:spacing w:val="6"/>
          <w:sz w:val="31"/>
          <w:szCs w:val="31"/>
          <w:lang w:val="en-US" w:eastAsia="zh-CN" w:bidi="ar"/>
          <w14:textFill>
            <w14:solidFill>
              <w14:schemeClr w14:val="tx1"/>
            </w14:solidFill>
          </w14:textFill>
        </w:rPr>
        <w:br w:type="page"/>
      </w:r>
      <w:r>
        <w:rPr>
          <w:rFonts w:hint="default" w:ascii="Times New Roman" w:hAnsi="Times New Roman" w:eastAsia="黑体" w:cs="Times New Roman"/>
          <w:color w:val="000000" w:themeColor="text1"/>
          <w:spacing w:val="6"/>
          <w:kern w:val="0"/>
          <w:sz w:val="32"/>
          <w:szCs w:val="32"/>
          <w:lang w:val="en-US" w:eastAsia="zh-CN" w:bidi="ar"/>
          <w14:textFill>
            <w14:solidFill>
              <w14:schemeClr w14:val="tx1"/>
            </w14:solidFill>
          </w14:textFill>
        </w:rPr>
        <w:t>附件1</w:t>
      </w:r>
    </w:p>
    <w:p>
      <w:pPr>
        <w:keepNext w:val="0"/>
        <w:keepLines w:val="0"/>
        <w:widowControl w:val="0"/>
        <w:suppressLineNumbers w:val="0"/>
        <w:wordWrap w:val="0"/>
        <w:topLinePunct/>
        <w:spacing w:before="0" w:beforeAutospacing="0" w:after="0" w:afterAutospacing="0"/>
        <w:ind w:left="0" w:right="0"/>
        <w:jc w:val="left"/>
        <w:rPr>
          <w:rFonts w:hint="default" w:ascii="Times New Roman" w:hAnsi="Times New Roman" w:eastAsia="黑体" w:cs="Times New Roman"/>
          <w:color w:val="000000" w:themeColor="text1"/>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720" w:lineRule="exact"/>
        <w:ind w:left="0" w:right="0"/>
        <w:jc w:val="center"/>
        <w:rPr>
          <w:rFonts w:hint="default" w:ascii="Times New Roman" w:hAnsi="Times New Roman" w:eastAsia="方正小标宋简体" w:cs="Times New Roman"/>
          <w:color w:val="000000" w:themeColor="text1"/>
          <w:sz w:val="52"/>
          <w:szCs w:val="52"/>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720" w:lineRule="exact"/>
        <w:ind w:left="0" w:right="0"/>
        <w:jc w:val="center"/>
        <w:rPr>
          <w:rFonts w:hint="default" w:ascii="Times New Roman" w:hAnsi="Times New Roman" w:eastAsia="方正小标宋简体" w:cs="Times New Roman"/>
          <w:color w:val="000000" w:themeColor="text1"/>
          <w:sz w:val="52"/>
          <w:szCs w:val="52"/>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720" w:lineRule="exact"/>
        <w:ind w:left="0" w:right="0"/>
        <w:jc w:val="center"/>
        <w:rPr>
          <w:rFonts w:hint="default" w:ascii="Times New Roman" w:hAnsi="Times New Roman" w:eastAsia="方正小标宋简体" w:cs="Times New Roman"/>
          <w:color w:val="000000" w:themeColor="text1"/>
          <w:sz w:val="48"/>
          <w:szCs w:val="48"/>
          <w:lang w:val="en-US"/>
          <w14:textFill>
            <w14:solidFill>
              <w14:schemeClr w14:val="tx1"/>
            </w14:solidFill>
          </w14:textFill>
        </w:rPr>
      </w:pPr>
      <w:r>
        <w:rPr>
          <w:rFonts w:hint="default" w:ascii="Times New Roman" w:hAnsi="Times New Roman" w:eastAsia="方正小标宋简体" w:cs="Times New Roman"/>
          <w:color w:val="000000" w:themeColor="text1"/>
          <w:kern w:val="2"/>
          <w:sz w:val="48"/>
          <w:szCs w:val="48"/>
          <w:lang w:val="en-US" w:eastAsia="zh-CN" w:bidi="ar"/>
          <w14:textFill>
            <w14:solidFill>
              <w14:schemeClr w14:val="tx1"/>
            </w14:solidFill>
          </w14:textFill>
        </w:rPr>
        <w:t>湖南省经营性公墓年度检查申报表</w:t>
      </w:r>
    </w:p>
    <w:p>
      <w:pPr>
        <w:keepNext w:val="0"/>
        <w:keepLines w:val="0"/>
        <w:widowControl w:val="0"/>
        <w:suppressLineNumbers w:val="0"/>
        <w:wordWrap w:val="0"/>
        <w:topLinePunct/>
        <w:spacing w:before="289" w:beforeAutospacing="0" w:after="0" w:afterAutospacing="0" w:line="720" w:lineRule="exact"/>
        <w:ind w:left="0" w:right="0"/>
        <w:jc w:val="center"/>
        <w:rPr>
          <w:rFonts w:hint="default" w:ascii="Times New Roman" w:hAnsi="Times New Roman" w:eastAsia="楷体_GB2312" w:cs="Times New Roman"/>
          <w:color w:val="000000" w:themeColor="text1"/>
          <w:sz w:val="36"/>
          <w:szCs w:val="36"/>
          <w:lang w:val="en-US"/>
          <w14:textFill>
            <w14:solidFill>
              <w14:schemeClr w14:val="tx1"/>
            </w14:solidFill>
          </w14:textFill>
        </w:rPr>
      </w:pPr>
      <w:r>
        <w:rPr>
          <w:rFonts w:hint="default" w:ascii="Times New Roman" w:hAnsi="Times New Roman" w:eastAsia="楷体_GB2312" w:cs="Times New Roman"/>
          <w:color w:val="000000" w:themeColor="text1"/>
          <w:kern w:val="2"/>
          <w:sz w:val="36"/>
          <w:szCs w:val="36"/>
          <w:lang w:val="en-US" w:eastAsia="zh-CN" w:bidi="ar"/>
          <w14:textFill>
            <w14:solidFill>
              <w14:schemeClr w14:val="tx1"/>
            </w14:solidFill>
          </w14:textFill>
        </w:rPr>
        <w:t>（      年度）</w:t>
      </w: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方正小标宋简体" w:cs="Times New Roman"/>
          <w:color w:val="000000" w:themeColor="text1"/>
          <w:sz w:val="40"/>
          <w:szCs w:val="40"/>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方正小标宋简体" w:cs="Times New Roman"/>
          <w:color w:val="000000" w:themeColor="text1"/>
          <w:sz w:val="40"/>
          <w:szCs w:val="40"/>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方正小标宋简体" w:cs="Times New Roman"/>
          <w:color w:val="000000" w:themeColor="text1"/>
          <w:sz w:val="40"/>
          <w:szCs w:val="40"/>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方正小标宋简体" w:cs="Times New Roman"/>
          <w:color w:val="000000" w:themeColor="text1"/>
          <w:sz w:val="40"/>
          <w:szCs w:val="40"/>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方正小标宋简体" w:cs="Times New Roman"/>
          <w:color w:val="000000" w:themeColor="text1"/>
          <w:sz w:val="40"/>
          <w:szCs w:val="40"/>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840" w:lineRule="exact"/>
        <w:ind w:left="0" w:right="0" w:firstLine="1080" w:firstLineChars="300"/>
        <w:jc w:val="left"/>
        <w:rPr>
          <w:rFonts w:hint="default" w:ascii="Times New Roman" w:hAnsi="Times New Roman" w:eastAsia="仿宋_GB2312" w:cs="Times New Roman"/>
          <w:color w:val="000000" w:themeColor="text1"/>
          <w:sz w:val="36"/>
          <w:szCs w:val="36"/>
          <w:u w:val="single"/>
          <w:lang w:val="en-US"/>
          <w14:textFill>
            <w14:solidFill>
              <w14:schemeClr w14:val="tx1"/>
            </w14:solidFill>
          </w14:textFill>
        </w:rPr>
      </w:pPr>
      <w:r>
        <w:rPr>
          <w:rFonts w:hint="default" w:ascii="Times New Roman" w:hAnsi="Times New Roman" w:eastAsia="仿宋_GB2312" w:cs="Times New Roman"/>
          <w:color w:val="000000" w:themeColor="text1"/>
          <w:kern w:val="2"/>
          <w:sz w:val="36"/>
          <w:szCs w:val="36"/>
          <w:lang w:val="en-US" w:eastAsia="zh-CN" w:bidi="ar"/>
          <w14:textFill>
            <w14:solidFill>
              <w14:schemeClr w14:val="tx1"/>
            </w14:solidFill>
          </w14:textFill>
        </w:rPr>
        <w:t>填表单位：</w:t>
      </w:r>
      <w:r>
        <w:rPr>
          <w:rFonts w:hint="default" w:ascii="Times New Roman" w:hAnsi="Times New Roman" w:eastAsia="宋体" w:cs="Times New Roman"/>
          <w:color w:val="000000" w:themeColor="text1"/>
          <w:kern w:val="2"/>
          <w:sz w:val="36"/>
          <w:szCs w:val="36"/>
          <w:u w:val="single"/>
          <w:lang w:val="en-US" w:eastAsia="zh-CN" w:bidi="ar"/>
          <w14:textFill>
            <w14:solidFill>
              <w14:schemeClr w14:val="tx1"/>
            </w14:solidFill>
          </w14:textFill>
        </w:rPr>
        <w:t xml:space="preserve">                         </w:t>
      </w:r>
    </w:p>
    <w:p>
      <w:pPr>
        <w:keepNext w:val="0"/>
        <w:keepLines w:val="0"/>
        <w:widowControl w:val="0"/>
        <w:suppressLineNumbers w:val="0"/>
        <w:wordWrap w:val="0"/>
        <w:topLinePunct/>
        <w:spacing w:before="0" w:beforeAutospacing="0" w:after="0" w:afterAutospacing="0" w:line="840" w:lineRule="exact"/>
        <w:ind w:left="0" w:right="0" w:firstLine="1080" w:firstLineChars="300"/>
        <w:jc w:val="left"/>
        <w:rPr>
          <w:rFonts w:hint="default" w:ascii="Times New Roman" w:hAnsi="Times New Roman" w:eastAsia="宋体" w:cs="Times New Roman"/>
          <w:color w:val="000000" w:themeColor="text1"/>
          <w:sz w:val="36"/>
          <w:szCs w:val="36"/>
          <w:u w:val="single"/>
          <w:lang w:val="en-US"/>
          <w14:textFill>
            <w14:solidFill>
              <w14:schemeClr w14:val="tx1"/>
            </w14:solidFill>
          </w14:textFill>
        </w:rPr>
      </w:pPr>
      <w:r>
        <w:rPr>
          <w:rFonts w:hint="default" w:ascii="Times New Roman" w:hAnsi="Times New Roman" w:eastAsia="仿宋_GB2312" w:cs="Times New Roman"/>
          <w:color w:val="000000" w:themeColor="text1"/>
          <w:kern w:val="2"/>
          <w:sz w:val="36"/>
          <w:szCs w:val="36"/>
          <w:lang w:val="en-US" w:eastAsia="zh-CN" w:bidi="ar"/>
          <w14:textFill>
            <w14:solidFill>
              <w14:schemeClr w14:val="tx1"/>
            </w14:solidFill>
          </w14:textFill>
        </w:rPr>
        <w:t>填表日期：</w:t>
      </w:r>
      <w:r>
        <w:rPr>
          <w:rFonts w:hint="default" w:ascii="Times New Roman" w:hAnsi="Times New Roman" w:eastAsia="宋体" w:cs="Times New Roman"/>
          <w:color w:val="000000" w:themeColor="text1"/>
          <w:kern w:val="2"/>
          <w:sz w:val="36"/>
          <w:szCs w:val="36"/>
          <w:u w:val="single"/>
          <w:lang w:val="en-US" w:eastAsia="zh-CN" w:bidi="ar"/>
          <w14:textFill>
            <w14:solidFill>
              <w14:schemeClr w14:val="tx1"/>
            </w14:solidFill>
          </w14:textFill>
        </w:rPr>
        <w:t xml:space="preserve">                         </w:t>
      </w:r>
    </w:p>
    <w:p>
      <w:pPr>
        <w:keepNext w:val="0"/>
        <w:keepLines w:val="0"/>
        <w:widowControl w:val="0"/>
        <w:suppressLineNumbers w:val="0"/>
        <w:wordWrap w:val="0"/>
        <w:topLinePunct/>
        <w:spacing w:before="0" w:beforeAutospacing="0" w:after="0" w:afterAutospacing="0" w:line="840" w:lineRule="exact"/>
        <w:ind w:left="0" w:right="0"/>
        <w:jc w:val="left"/>
        <w:rPr>
          <w:rFonts w:hint="default" w:ascii="Times New Roman" w:hAnsi="Times New Roman" w:eastAsia="宋体" w:cs="Times New Roman"/>
          <w:color w:val="000000" w:themeColor="text1"/>
          <w:sz w:val="36"/>
          <w:szCs w:val="36"/>
          <w:u w:val="single"/>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840" w:lineRule="exact"/>
        <w:ind w:left="0" w:right="0"/>
        <w:jc w:val="left"/>
        <w:rPr>
          <w:rFonts w:hint="default" w:ascii="Times New Roman" w:hAnsi="Times New Roman" w:eastAsia="宋体" w:cs="Times New Roman"/>
          <w:color w:val="000000" w:themeColor="text1"/>
          <w:sz w:val="36"/>
          <w:szCs w:val="36"/>
          <w:u w:val="single"/>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840" w:lineRule="exact"/>
        <w:ind w:left="0" w:right="0"/>
        <w:jc w:val="left"/>
        <w:rPr>
          <w:rFonts w:hint="default" w:ascii="Times New Roman" w:hAnsi="Times New Roman" w:eastAsia="宋体" w:cs="Times New Roman"/>
          <w:color w:val="000000" w:themeColor="text1"/>
          <w:sz w:val="36"/>
          <w:szCs w:val="36"/>
          <w:u w:val="single"/>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840" w:lineRule="exact"/>
        <w:ind w:left="0" w:right="0"/>
        <w:jc w:val="left"/>
        <w:rPr>
          <w:rFonts w:hint="default" w:ascii="Times New Roman" w:hAnsi="Times New Roman" w:eastAsia="宋体" w:cs="Times New Roman"/>
          <w:color w:val="000000" w:themeColor="text1"/>
          <w:sz w:val="36"/>
          <w:szCs w:val="36"/>
          <w:u w:val="single"/>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840" w:lineRule="exact"/>
        <w:ind w:left="0" w:right="0"/>
        <w:jc w:val="center"/>
        <w:rPr>
          <w:rFonts w:hint="default" w:ascii="Times New Roman" w:hAnsi="Times New Roman" w:eastAsia="宋体" w:cs="Times New Roman"/>
          <w:color w:val="000000" w:themeColor="text1"/>
          <w:sz w:val="34"/>
          <w:szCs w:val="34"/>
          <w:lang w:val="en-US"/>
          <w14:textFill>
            <w14:solidFill>
              <w14:schemeClr w14:val="tx1"/>
            </w14:solidFill>
          </w14:textFill>
        </w:rPr>
      </w:pPr>
      <w:r>
        <w:rPr>
          <w:rFonts w:hint="default" w:ascii="Times New Roman" w:hAnsi="Times New Roman" w:eastAsia="黑体" w:cs="Times New Roman"/>
          <w:color w:val="000000" w:themeColor="text1"/>
          <w:kern w:val="2"/>
          <w:sz w:val="36"/>
          <w:szCs w:val="36"/>
          <w:lang w:val="en-US" w:eastAsia="zh-CN" w:bidi="ar"/>
          <w14:textFill>
            <w14:solidFill>
              <w14:schemeClr w14:val="tx1"/>
            </w14:solidFill>
          </w14:textFill>
        </w:rPr>
        <w:t>湖南省民政厅监制</w:t>
      </w:r>
    </w:p>
    <w:p>
      <w:pPr>
        <w:pStyle w:val="18"/>
        <w:widowControl/>
        <w:wordWrap w:val="0"/>
        <w:topLinePunct/>
        <w:spacing w:line="20" w:lineRule="exact"/>
        <w:ind w:left="0" w:firstLine="680"/>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eastAsia="方正仿宋简体" w:cs="Times New Roman"/>
          <w:color w:val="000000" w:themeColor="text1"/>
          <w:kern w:val="2"/>
          <w:sz w:val="34"/>
          <w:szCs w:val="34"/>
          <w:lang w:val="en-US" w:eastAsia="zh-CN" w:bidi="ar"/>
          <w14:textFill>
            <w14:solidFill>
              <w14:schemeClr w14:val="tx1"/>
            </w14:solidFill>
          </w14:textFill>
        </w:rPr>
        <w:br w:type="page"/>
      </w:r>
    </w:p>
    <w:tbl>
      <w:tblPr>
        <w:tblStyle w:val="10"/>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056"/>
        <w:gridCol w:w="835"/>
        <w:gridCol w:w="2558"/>
        <w:gridCol w:w="313"/>
        <w:gridCol w:w="1520"/>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2"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黑体" w:cs="Times New Roman"/>
                <w:color w:val="000000" w:themeColor="text1"/>
                <w:kern w:val="2"/>
                <w:sz w:val="28"/>
                <w:szCs w:val="28"/>
                <w:lang w:val="en-US" w:eastAsia="zh-CN" w:bidi="ar"/>
                <w14:textFill>
                  <w14:solidFill>
                    <w14:schemeClr w14:val="tx1"/>
                  </w14:solidFill>
                </w14:textFill>
              </w:rPr>
              <w:t>基 本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公墓名称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公墓地址</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b/>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法定代表人信息</w:t>
            </w:r>
          </w:p>
        </w:tc>
        <w:tc>
          <w:tcPr>
            <w:tcW w:w="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姓名</w:t>
            </w:r>
          </w:p>
        </w:tc>
        <w:tc>
          <w:tcPr>
            <w:tcW w:w="255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c>
          <w:tcPr>
            <w:tcW w:w="183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联系电话</w:t>
            </w:r>
          </w:p>
        </w:tc>
        <w:tc>
          <w:tcPr>
            <w:tcW w:w="19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身份证号码</w:t>
            </w:r>
          </w:p>
        </w:tc>
        <w:tc>
          <w:tcPr>
            <w:tcW w:w="636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职工人数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kern w:val="0"/>
                <w:sz w:val="24"/>
                <w:szCs w:val="24"/>
                <w:lang w:val="en-US"/>
                <w14:textFill>
                  <w14:solidFill>
                    <w14:schemeClr w14:val="tx1"/>
                  </w14:solidFill>
                </w14:textFill>
              </w:rPr>
            </w:pP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总共</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人，其中编制内</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人，长期聘用</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人，外包</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业务范围</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主办单位</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联办单位</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批准文号</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经营许可证号</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营业执照号</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公墓面积（㎡）</w:t>
            </w:r>
          </w:p>
        </w:tc>
        <w:tc>
          <w:tcPr>
            <w:tcW w:w="8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总面积</w:t>
            </w:r>
          </w:p>
        </w:tc>
        <w:tc>
          <w:tcPr>
            <w:tcW w:w="287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墓区面积</w:t>
            </w:r>
          </w:p>
        </w:tc>
        <w:tc>
          <w:tcPr>
            <w:tcW w:w="19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480" w:lineRule="exact"/>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已获产权证的占地面积（㎡）</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行政划拨</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平方米，挂牌出让</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平方米，其它</w:t>
            </w:r>
            <w:r>
              <w:rPr>
                <w:rFonts w:hint="default" w:ascii="Times New Roman" w:hAnsi="Times New Roman" w:eastAsia="宋体" w:cs="Times New Roman"/>
                <w:color w:val="000000" w:themeColor="text1"/>
                <w:spacing w:val="-20"/>
                <w:kern w:val="2"/>
                <w:sz w:val="24"/>
                <w:szCs w:val="24"/>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4"/>
                <w:szCs w:val="24"/>
                <w:lang w:val="en-US" w:eastAsia="zh-CN" w:bidi="ar"/>
                <w14:textFill>
                  <w14:solidFill>
                    <w14:schemeClr w14:val="tx1"/>
                  </w14:solidFill>
                </w14:textFill>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规划墓穴数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已建成墓穴数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已安葬墓穴数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规划格位数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已建成格位数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已安放格位数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节地生态安葬墓区面积</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宋体"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已开展节地生态安葬累计数</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楷体_GB2312" w:cs="Times New Roman"/>
                <w:b/>
                <w:color w:val="000000" w:themeColor="text1"/>
                <w:kern w:val="0"/>
                <w:szCs w:val="21"/>
                <w:lang w:val="en-US"/>
                <w14:textFill>
                  <w14:solidFill>
                    <w14:schemeClr w14:val="tx1"/>
                  </w14:solidFill>
                </w14:textFill>
              </w:rPr>
            </w:pPr>
            <w:r>
              <w:rPr>
                <w:rFonts w:hint="default" w:ascii="Times New Roman" w:hAnsi="Times New Roman" w:eastAsia="黑体" w:cs="Times New Roman"/>
                <w:color w:val="000000" w:themeColor="text1"/>
                <w:kern w:val="2"/>
                <w:sz w:val="28"/>
                <w:szCs w:val="28"/>
                <w:lang w:val="en-US" w:eastAsia="zh-CN" w:bidi="ar"/>
                <w14:textFill>
                  <w14:solidFill>
                    <w14:schemeClr w14:val="tx1"/>
                  </w14:solidFill>
                </w14:textFill>
              </w:rPr>
              <w:t>年度销售及财务收支情况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全年销售</w:t>
            </w:r>
          </w:p>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墓穴数量</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both"/>
              <w:rPr>
                <w:rFonts w:hint="default" w:ascii="Times New Roman" w:hAnsi="Times New Roman" w:eastAsia="Arial" w:cs="Times New Roman"/>
                <w:color w:val="000000" w:themeColor="text1"/>
                <w:spacing w:val="-20"/>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个（其中5千元以下</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个，5千元至1万元</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个，1万元至3万元</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个，3万元至5万元</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个，5万元至10万元</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个，10万元以上</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全年销售</w:t>
            </w:r>
          </w:p>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格位数量</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both"/>
              <w:rPr>
                <w:rFonts w:hint="default" w:ascii="Times New Roman" w:hAnsi="Times New Roman" w:eastAsia="Arial" w:cs="Times New Roman"/>
                <w:color w:val="000000" w:themeColor="text1"/>
                <w:spacing w:val="-20"/>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个（其中5千元以下</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 xml:space="preserve">个，5千元以上 </w:t>
            </w:r>
            <w:r>
              <w:rPr>
                <w:rFonts w:hint="default" w:ascii="Times New Roman" w:hAnsi="Times New Roman" w:eastAsia="宋体" w:cs="Times New Roman"/>
                <w:color w:val="000000" w:themeColor="text1"/>
                <w:spacing w:val="-20"/>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spacing w:val="-20"/>
                <w:kern w:val="2"/>
                <w:sz w:val="28"/>
                <w:szCs w:val="28"/>
                <w:lang w:val="en-US" w:eastAsia="zh-CN" w:bidi="ar"/>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收入</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both"/>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万元（其中墓穴、格位销售收入</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万元，丧葬用品销售收入</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万元，提供服务收入</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万元，其他收入</w:t>
            </w:r>
          </w:p>
          <w:p>
            <w:pPr>
              <w:keepNext w:val="0"/>
              <w:keepLines w:val="0"/>
              <w:widowControl/>
              <w:suppressLineNumbers w:val="0"/>
              <w:spacing w:before="0" w:beforeAutospacing="0" w:after="0" w:afterAutospacing="0" w:line="420" w:lineRule="exact"/>
              <w:ind w:left="0" w:right="0"/>
              <w:jc w:val="both"/>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支出</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both"/>
              <w:rPr>
                <w:rFonts w:hint="default" w:ascii="Times New Roman" w:hAnsi="Times New Roman" w:eastAsia="Arial" w:cs="Times New Roman"/>
                <w:color w:val="000000" w:themeColor="text1"/>
                <w:kern w:val="0"/>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万元（其中建设支出</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万元，运营支出</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万元，人员工资支出</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万元，其他支出</w:t>
            </w:r>
            <w:r>
              <w:rPr>
                <w:rFonts w:hint="default" w:ascii="Times New Roman" w:hAnsi="Times New Roman" w:eastAsia="宋体" w:cs="Times New Roman"/>
                <w:color w:val="000000" w:themeColor="text1"/>
                <w:kern w:val="2"/>
                <w:sz w:val="28"/>
                <w:szCs w:val="28"/>
                <w:u w:val="single"/>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总盈利或</w:t>
            </w:r>
          </w:p>
          <w:p>
            <w:pPr>
              <w:keepNext w:val="0"/>
              <w:keepLines w:val="0"/>
              <w:widowControl/>
              <w:suppressLineNumbers w:val="0"/>
              <w:spacing w:before="0" w:beforeAutospacing="0" w:after="0" w:afterAutospacing="0" w:line="420" w:lineRule="exact"/>
              <w:ind w:left="0" w:right="0"/>
              <w:jc w:val="center"/>
              <w:rPr>
                <w:rFonts w:hint="default" w:ascii="Times New Roman" w:hAnsi="Times New Roman" w:eastAsia="宋体"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亏损（万元）</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color w:val="000000" w:themeColor="text1"/>
                <w:spacing w:val="-20"/>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当年提取维护费（万元）</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20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r>
              <w:rPr>
                <w:rFonts w:hint="default" w:ascii="Times New Roman" w:hAnsi="Times New Roman" w:eastAsia="宋体" w:cs="Times New Roman"/>
                <w:color w:val="000000" w:themeColor="text1"/>
                <w:kern w:val="2"/>
                <w:sz w:val="28"/>
                <w:szCs w:val="28"/>
                <w:lang w:val="en-US" w:eastAsia="zh-CN" w:bidi="ar"/>
                <w14:textFill>
                  <w14:solidFill>
                    <w14:schemeClr w14:val="tx1"/>
                  </w14:solidFill>
                </w14:textFill>
              </w:rPr>
              <w:t>累计提取维护费（万元）</w:t>
            </w:r>
          </w:p>
        </w:tc>
        <w:tc>
          <w:tcPr>
            <w:tcW w:w="719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20" w:lineRule="exact"/>
              <w:ind w:left="0" w:right="0"/>
              <w:jc w:val="center"/>
              <w:rPr>
                <w:rFonts w:hint="default" w:ascii="Times New Roman" w:hAnsi="Times New Roman" w:cs="Times New Roman"/>
                <w:color w:val="000000" w:themeColor="text1"/>
                <w:sz w:val="28"/>
                <w:szCs w:val="28"/>
                <w:lang w:val="en-US"/>
                <w14:textFill>
                  <w14:solidFill>
                    <w14:schemeClr w14:val="tx1"/>
                  </w14:solidFill>
                </w14:textFill>
              </w:rPr>
            </w:pP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楷体_GB2312" w:cs="Times New Roman"/>
          <w:color w:val="000000" w:themeColor="text1"/>
          <w:sz w:val="28"/>
          <w:szCs w:val="28"/>
          <w:lang w:val="en-US"/>
          <w14:textFill>
            <w14:solidFill>
              <w14:schemeClr w14:val="tx1"/>
            </w14:solidFill>
          </w14:textFill>
        </w:rPr>
      </w:pPr>
      <w:r>
        <w:rPr>
          <w:rFonts w:hint="default" w:ascii="Times New Roman" w:hAnsi="Times New Roman" w:eastAsia="楷体_GB2312" w:cs="Times New Roman"/>
          <w:color w:val="000000" w:themeColor="text1"/>
          <w:kern w:val="2"/>
          <w:sz w:val="28"/>
          <w:szCs w:val="28"/>
          <w:lang w:val="en-US" w:eastAsia="zh-CN" w:bidi="ar"/>
          <w14:textFill>
            <w14:solidFill>
              <w14:schemeClr w14:val="tx1"/>
            </w14:solidFill>
          </w14:textFill>
        </w:rPr>
        <w:br w:type="page"/>
      </w:r>
    </w:p>
    <w:p>
      <w:pPr>
        <w:pStyle w:val="18"/>
        <w:widowControl/>
        <w:ind w:left="0" w:firstLine="0" w:firstLineChars="0"/>
        <w:jc w:val="cente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年 检 结 果</w:t>
      </w:r>
    </w:p>
    <w:p>
      <w:pPr>
        <w:pStyle w:val="18"/>
        <w:widowControl/>
        <w:ind w:left="0" w:firstLine="0" w:firstLineChars="0"/>
        <w:jc w:val="center"/>
        <w:rPr>
          <w:rFonts w:hint="default" w:ascii="Times New Roman" w:hAnsi="Times New Roman" w:eastAsia="黑体" w:cs="Times New Roman"/>
          <w:color w:val="000000" w:themeColor="text1"/>
          <w:sz w:val="44"/>
          <w:szCs w:val="44"/>
          <w:lang w:val="en-US" w:eastAsia="zh-CN"/>
          <w14:textFill>
            <w14:solidFill>
              <w14:schemeClr w14:val="tx1"/>
            </w14:solidFill>
          </w14:textFill>
        </w:rPr>
      </w:pPr>
    </w:p>
    <w:tbl>
      <w:tblPr>
        <w:tblStyle w:val="10"/>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16"/>
        <w:gridCol w:w="6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78" w:hRule="atLeast"/>
          <w:jc w:val="center"/>
        </w:trPr>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公墓单位</w:t>
            </w:r>
          </w:p>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自查意见</w:t>
            </w:r>
          </w:p>
        </w:tc>
        <w:tc>
          <w:tcPr>
            <w:tcW w:w="683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（盖章）     </w:t>
            </w: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县级民政部门</w:t>
            </w:r>
          </w:p>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意见</w:t>
            </w:r>
          </w:p>
        </w:tc>
        <w:tc>
          <w:tcPr>
            <w:tcW w:w="683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（盖章）     </w:t>
            </w: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市州民政部门</w:t>
            </w:r>
          </w:p>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年检意见</w:t>
            </w:r>
          </w:p>
        </w:tc>
        <w:tc>
          <w:tcPr>
            <w:tcW w:w="683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（盖章）     </w:t>
            </w: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省级民政部门</w:t>
            </w:r>
          </w:p>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年检结论</w:t>
            </w:r>
          </w:p>
        </w:tc>
        <w:tc>
          <w:tcPr>
            <w:tcW w:w="683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p>
            <w:pPr>
              <w:pStyle w:val="18"/>
              <w:widowControl/>
              <w:wordWrap w:val="0"/>
              <w:topLinePunct/>
              <w:ind w:left="0" w:firstLine="480"/>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（盖章）     </w:t>
            </w: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备  注</w:t>
            </w:r>
          </w:p>
        </w:tc>
        <w:tc>
          <w:tcPr>
            <w:tcW w:w="683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56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p>
            <w:pPr>
              <w:keepNext w:val="0"/>
              <w:keepLines w:val="0"/>
              <w:widowControl w:val="0"/>
              <w:suppressLineNumbers w:val="0"/>
              <w:wordWrap w:val="0"/>
              <w:topLinePunct/>
              <w:spacing w:before="0" w:beforeAutospacing="0" w:after="0" w:afterAutospacing="0" w:line="560" w:lineRule="exact"/>
              <w:ind w:left="0" w:right="0"/>
              <w:jc w:val="right"/>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 xml:space="preserve"> </w:t>
            </w:r>
          </w:p>
        </w:tc>
      </w:tr>
    </w:tbl>
    <w:p>
      <w:pPr>
        <w:pStyle w:val="18"/>
        <w:keepNext w:val="0"/>
        <w:keepLines w:val="0"/>
        <w:widowControl/>
        <w:suppressLineNumbers w:val="0"/>
        <w:kinsoku w:val="0"/>
        <w:autoSpaceDE w:val="0"/>
        <w:autoSpaceDN w:val="0"/>
        <w:adjustRightInd w:val="0"/>
        <w:snapToGrid w:val="0"/>
        <w:spacing w:line="400" w:lineRule="exact"/>
        <w:ind w:left="0" w:firstLine="0" w:firstLineChars="0"/>
        <w:textAlignment w:val="baseline"/>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pP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注：此表一式</w:t>
      </w:r>
      <w:r>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t>3</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份（</w:t>
      </w:r>
      <w:r>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t>A3</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对折双面打印），报民政厅主管处室</w:t>
      </w:r>
      <w:r>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t>1</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份，</w:t>
      </w:r>
      <w:r>
        <w:rPr>
          <w:rFonts w:hint="default" w:ascii="Times New Roman" w:hAnsi="Times New Roman" w:eastAsia="楷体_GB2312" w:cs="Times New Roman"/>
          <w:color w:val="000000" w:themeColor="text1"/>
          <w:sz w:val="28"/>
          <w:szCs w:val="28"/>
          <w:vertAlign w:val="baseline"/>
          <w:lang w:val="en-US" w:eastAsia="zh-CN"/>
          <w14:textFill>
            <w14:solidFill>
              <w14:schemeClr w14:val="tx1"/>
            </w14:solidFill>
          </w14:textFill>
        </w:rPr>
        <w:t>市州</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民政局留存</w:t>
      </w:r>
      <w:r>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t>1</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份，公墓档案存档</w:t>
      </w:r>
      <w:r>
        <w:rPr>
          <w:rFonts w:hint="default" w:ascii="Times New Roman" w:hAnsi="Times New Roman" w:eastAsia="楷体_GB2312" w:cs="Times New Roman"/>
          <w:color w:val="000000" w:themeColor="text1"/>
          <w:sz w:val="28"/>
          <w:szCs w:val="28"/>
          <w:vertAlign w:val="baseline"/>
          <w:lang w:val="en-US"/>
          <w14:textFill>
            <w14:solidFill>
              <w14:schemeClr w14:val="tx1"/>
            </w14:solidFill>
          </w14:textFill>
        </w:rPr>
        <w:t>1</w:t>
      </w:r>
      <w:r>
        <w:rPr>
          <w:rFonts w:hint="default" w:ascii="Times New Roman" w:hAnsi="Times New Roman" w:eastAsia="楷体_GB2312" w:cs="Times New Roman"/>
          <w:color w:val="000000" w:themeColor="text1"/>
          <w:sz w:val="28"/>
          <w:szCs w:val="28"/>
          <w:vertAlign w:val="baseline"/>
          <w:lang w:eastAsia="zh-CN"/>
          <w14:textFill>
            <w14:solidFill>
              <w14:schemeClr w14:val="tx1"/>
            </w14:solidFill>
          </w14:textFill>
        </w:rPr>
        <w:t>份。</w:t>
      </w:r>
    </w:p>
    <w:p>
      <w:pPr>
        <w:keepNext w:val="0"/>
        <w:keepLines w:val="0"/>
        <w:widowControl w:val="0"/>
        <w:suppressLineNumbers w:val="0"/>
        <w:wordWrap w:val="0"/>
        <w:topLinePunct/>
        <w:spacing w:before="0" w:beforeAutospacing="0" w:after="0" w:afterAutospacing="0"/>
        <w:ind w:left="0" w:right="0"/>
        <w:jc w:val="left"/>
        <w:rPr>
          <w:rFonts w:hint="default" w:ascii="Times New Roman" w:hAnsi="Times New Roman" w:eastAsia="黑体" w:cs="Times New Roman"/>
          <w:color w:val="000000" w:themeColor="text1"/>
          <w:sz w:val="32"/>
          <w:szCs w:val="32"/>
          <w:lang w:val="en-US"/>
          <w14:textFill>
            <w14:solidFill>
              <w14:schemeClr w14:val="tx1"/>
            </w14:solidFill>
          </w14:textFill>
        </w:rPr>
      </w:pPr>
      <w:r>
        <w:rPr>
          <w:rFonts w:hint="default" w:ascii="Times New Roman" w:hAnsi="Times New Roman" w:eastAsia="楷体_GB2312" w:cs="Times New Roman"/>
          <w:color w:val="000000" w:themeColor="text1"/>
          <w:kern w:val="2"/>
          <w:sz w:val="28"/>
          <w:szCs w:val="28"/>
          <w:lang w:val="en-US" w:eastAsia="zh-CN" w:bidi="ar"/>
          <w14:textFill>
            <w14:solidFill>
              <w14:schemeClr w14:val="tx1"/>
            </w14:solidFill>
          </w14:textFill>
        </w:rPr>
        <w:br w:type="page"/>
      </w:r>
      <w:r>
        <w:rPr>
          <w:rFonts w:hint="default" w:ascii="Times New Roman" w:hAnsi="Times New Roman" w:eastAsia="黑体" w:cs="Times New Roman"/>
          <w:color w:val="000000" w:themeColor="text1"/>
          <w:spacing w:val="6"/>
          <w:kern w:val="0"/>
          <w:sz w:val="32"/>
          <w:szCs w:val="32"/>
          <w:lang w:val="en-US" w:eastAsia="zh-CN" w:bidi="ar"/>
          <w14:textFill>
            <w14:solidFill>
              <w14:schemeClr w14:val="tx1"/>
            </w14:solidFill>
          </w14:textFill>
        </w:rPr>
        <w:t>附件2</w:t>
      </w:r>
    </w:p>
    <w:p>
      <w:pPr>
        <w:keepNext w:val="0"/>
        <w:keepLines w:val="0"/>
        <w:widowControl w:val="0"/>
        <w:suppressLineNumbers w:val="0"/>
        <w:wordWrap w:val="0"/>
        <w:topLinePunct/>
        <w:spacing w:before="0" w:beforeAutospacing="0" w:after="0" w:afterAutospacing="0" w:line="720" w:lineRule="exact"/>
        <w:ind w:left="0" w:right="0"/>
        <w:jc w:val="center"/>
        <w:rPr>
          <w:rFonts w:hint="default" w:ascii="Times New Roman" w:hAnsi="Times New Roman" w:eastAsia="方正小标宋简体" w:cs="Times New Roman"/>
          <w:color w:val="000000" w:themeColor="text1"/>
          <w:sz w:val="44"/>
          <w:szCs w:val="44"/>
          <w:lang w:val="en-US"/>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bidi="ar"/>
          <w14:textFill>
            <w14:solidFill>
              <w14:schemeClr w14:val="tx1"/>
            </w14:solidFill>
          </w14:textFill>
        </w:rPr>
        <w:t>湖南省经营性公墓年度检查评分标准表</w:t>
      </w:r>
    </w:p>
    <w:p>
      <w:pPr>
        <w:pStyle w:val="18"/>
        <w:widowControl/>
        <w:ind w:left="0" w:firstLine="0" w:firstLineChars="0"/>
        <w:rPr>
          <w:rFonts w:hint="default" w:ascii="Times New Roman" w:hAnsi="Times New Roman" w:eastAsia="仿宋_GB2312" w:cs="Times New Roman"/>
          <w:bCs/>
          <w:color w:val="000000" w:themeColor="text1"/>
          <w:kern w:val="0"/>
          <w:sz w:val="28"/>
          <w:szCs w:val="28"/>
          <w:lang w:val="en-US"/>
          <w14:textFill>
            <w14:solidFill>
              <w14:schemeClr w14:val="tx1"/>
            </w14:solidFill>
          </w14:textFill>
        </w:rPr>
      </w:pPr>
      <w:r>
        <w:rPr>
          <w:rFonts w:hint="default" w:ascii="Times New Roman" w:hAnsi="Times New Roman" w:eastAsia="仿宋_GB2312" w:cs="Times New Roman"/>
          <w:bCs/>
          <w:color w:val="000000" w:themeColor="text1"/>
          <w:kern w:val="0"/>
          <w:sz w:val="28"/>
          <w:szCs w:val="28"/>
          <w:lang w:eastAsia="zh-CN"/>
          <w14:textFill>
            <w14:solidFill>
              <w14:schemeClr w14:val="tx1"/>
            </w14:solidFill>
          </w14:textFill>
        </w:rPr>
        <w:t>检查组长签名：</w:t>
      </w:r>
      <w:r>
        <w:rPr>
          <w:rFonts w:hint="default" w:ascii="Times New Roman" w:hAnsi="Times New Roman" w:eastAsia="仿宋_GB2312" w:cs="Times New Roman"/>
          <w:bCs/>
          <w:color w:val="000000" w:themeColor="text1"/>
          <w:kern w:val="0"/>
          <w:sz w:val="28"/>
          <w:szCs w:val="28"/>
          <w:lang w:val="en-US"/>
          <w14:textFill>
            <w14:solidFill>
              <w14:schemeClr w14:val="tx1"/>
            </w14:solidFill>
          </w14:textFill>
        </w:rPr>
        <w:t xml:space="preserve">                                </w:t>
      </w:r>
      <w:r>
        <w:rPr>
          <w:rFonts w:hint="default" w:ascii="Times New Roman" w:hAnsi="Times New Roman" w:eastAsia="仿宋_GB2312" w:cs="Times New Roman"/>
          <w:bCs/>
          <w:color w:val="000000" w:themeColor="text1"/>
          <w:kern w:val="0"/>
          <w:sz w:val="28"/>
          <w:szCs w:val="28"/>
          <w:lang w:eastAsia="zh-CN"/>
          <w14:textFill>
            <w14:solidFill>
              <w14:schemeClr w14:val="tx1"/>
            </w14:solidFill>
          </w14:textFill>
        </w:rPr>
        <w:t>得分：</w:t>
      </w:r>
    </w:p>
    <w:tbl>
      <w:tblPr>
        <w:tblStyle w:val="10"/>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45"/>
        <w:gridCol w:w="3765"/>
        <w:gridCol w:w="816"/>
        <w:gridCol w:w="900"/>
        <w:gridCol w:w="252"/>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tblHeader/>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56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
                <w14:textFill>
                  <w14:solidFill>
                    <w14:schemeClr w14:val="tx1"/>
                  </w14:solidFill>
                </w14:textFill>
              </w:rPr>
              <w:t>检查评分情况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41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检查内容及分值</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初查</w:t>
            </w:r>
          </w:p>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评分</w:t>
            </w:r>
          </w:p>
        </w:tc>
        <w:tc>
          <w:tcPr>
            <w:tcW w:w="302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2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en-US" w:bidi="ar"/>
                <w14:textFill>
                  <w14:solidFill>
                    <w14:schemeClr w14:val="tx1"/>
                  </w14:solidFill>
                </w14:textFill>
              </w:rPr>
              <w:t>市州</w:t>
            </w: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民政局检查评分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blHeader/>
          <w:jc w:val="center"/>
        </w:trPr>
        <w:tc>
          <w:tcPr>
            <w:tcW w:w="541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得分</w:t>
            </w: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扣分理由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一、依法审批方面（20分）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经营性公墓建设审批手续完备（7分）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符合国土空间规划（7分）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依法取得土地（林地）使用手续（6分）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二、规范建设方面（</w:t>
            </w:r>
            <w:r>
              <w:rPr>
                <w:rFonts w:hint="eastAsia" w:ascii="Times New Roman" w:hAnsi="Times New Roman" w:eastAsia="宋体" w:cs="Times New Roman"/>
                <w:bCs/>
                <w:color w:val="000000" w:themeColor="text1"/>
                <w:kern w:val="2"/>
                <w:sz w:val="24"/>
                <w:szCs w:val="24"/>
                <w:lang w:val="en-US" w:eastAsia="zh-CN" w:bidi="ar"/>
                <w14:textFill>
                  <w14:solidFill>
                    <w14:schemeClr w14:val="tx1"/>
                  </w14:solidFill>
                </w14:textFill>
              </w:rPr>
              <w:t>15</w:t>
            </w: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严格按批复文件要求建设墓区（</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无超出批准用地范围建设墓穴（</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是按要求建设节地生态安葬墓区（</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墓区配套设施建设齐全（</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墓区环境干净、整洁、庄重（</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三、诚信经营方面（3</w:t>
            </w:r>
            <w:r>
              <w:rPr>
                <w:rFonts w:hint="eastAsia" w:ascii="Times New Roman" w:hAnsi="Times New Roman" w:eastAsia="宋体" w:cs="Times New Roman"/>
                <w:bCs/>
                <w:color w:val="000000" w:themeColor="text1"/>
                <w:kern w:val="2"/>
                <w:sz w:val="24"/>
                <w:szCs w:val="24"/>
                <w:lang w:val="en-US" w:eastAsia="zh-CN" w:bidi="ar"/>
                <w14:textFill>
                  <w14:solidFill>
                    <w14:schemeClr w14:val="tx1"/>
                  </w14:solidFill>
                </w14:textFill>
              </w:rPr>
              <w:t>5</w:t>
            </w: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实行政府管价的殡葬服务项目严格按照价格主管部门核定的收费标准进行收费（4分）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实行市场调节价的殡葬服务项目严格执行相关文件规定（4分）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殡葬服务收费项目和收费标准全面落实收费</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网络集中与线下同步</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公示和明码标价制度（4分）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将收费项目合并为墓位（格位）使用费和维护管理费两项，收费目录清单之外无收费</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签订规范合同，约定使用周期和管理费（2分）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按规定提取、使用维护费,专户存储（8分）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使用规范的骨灰安放证书（2分）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无违规预售墓（格）位（2分）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无限制丧属自带合法丧葬用品（2分）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无出售污染环境的祭祀用品（2分）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四、优质服务方面（10分）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制定标准服务流程和服务规范（2分）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主动公开服务投诉和监督电话（2分）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积极开展惠民殡葬和节地生态安葬政策宣传（2分）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b/>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工作人员熟知殡葬服务管理有关法规政策和业务知识（2分）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工作人员是否着装整洁、举止得体、热情周到（2分）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五、运营管理方面（20分）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建立完善的规章制度（4分）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安全管理责任和疫情防控责任压实到位（4分）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建立健全了祭扫服务应急预案，开展消防安全演练，消防安全设施齐全，经常性开展安全隐患排查（4分）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常态化组织干部职工开展作风纪律教育，加强殡葬行风建设（4分）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规范管理骨灰安葬档案（4分）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六、加分项（此项累计加分不超过10分）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免费提供鲜花、丝带等绿色祭扫用品（5分）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组织开展节地生态集中安葬活动（5分）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推进墓穴、墓碑小型化、生态化效果明显（5分）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wordWrap w:val="0"/>
              <w:topLinePunct/>
              <w:spacing w:before="0" w:beforeAutospacing="0" w:after="0" w:afterAutospacing="0" w:line="440" w:lineRule="exact"/>
              <w:ind w:left="0" w:right="0"/>
              <w:jc w:val="left"/>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信息化建设成效显著（5分）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在业务比赛中取得较好名次（5分）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在其他工作方面取得较好成绩，根据情况酌情加分（最高不超过5分）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七、大额扣分项</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未在规定时间内报送年度检查材料或拒不接受检查（51分）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炒买炒卖墓穴、擅自扩大墓区面积、擅自变更行政许可事项（51分）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多次受到群众投诉或信访，对反映的合理问题拒不纠正和解决（51分）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上一次年检结束后至今经营管理混乱不能正常开展服务（51分）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发生重大安全责任事故（51分）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年检中提供虚假资料（51分）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上一次年检结束后至今新增超面积墓位和超高墓碑（51分）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有其它违反法律法规行为（51分）</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15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4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400" w:lineRule="exact"/>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
                <w14:textFill>
                  <w14:solidFill>
                    <w14:schemeClr w14:val="tx1"/>
                  </w14:solidFill>
                </w14:textFill>
              </w:rPr>
              <w:t>总分</w:t>
            </w:r>
          </w:p>
        </w:tc>
        <w:tc>
          <w:tcPr>
            <w:tcW w:w="760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39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925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wordWrap w:val="0"/>
              <w:topLinePunct/>
              <w:spacing w:before="0" w:beforeAutospacing="0" w:after="0" w:afterAutospacing="0" w:line="390" w:lineRule="exact"/>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评分说明：各市州民政局对照每一项检查内容，结合佐证材料、实地查验、联合会审、平时了解等情况，逐项进行打分。括号内为该项最大分值，最小分差为1分，总分不超过100分。</w:t>
            </w:r>
          </w:p>
        </w:tc>
      </w:tr>
    </w:tbl>
    <w:p>
      <w:pPr>
        <w:keepNext w:val="0"/>
        <w:keepLines w:val="0"/>
        <w:widowControl w:val="0"/>
        <w:suppressLineNumbers w:val="0"/>
        <w:wordWrap w:val="0"/>
        <w:topLinePunct/>
        <w:spacing w:before="0" w:beforeAutospacing="0" w:after="0" w:afterAutospacing="0" w:line="560" w:lineRule="exact"/>
        <w:ind w:left="0" w:right="0"/>
        <w:jc w:val="left"/>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eastAsia="黑体" w:cs="Times New Roman"/>
          <w:color w:val="000000" w:themeColor="text1"/>
          <w:kern w:val="2"/>
          <w:sz w:val="28"/>
          <w:szCs w:val="28"/>
          <w:lang w:val="en-US" w:eastAsia="zh-CN" w:bidi="ar"/>
          <w14:textFill>
            <w14:solidFill>
              <w14:schemeClr w14:val="tx1"/>
            </w14:solidFill>
          </w14:textFill>
        </w:rPr>
        <w:t>注：</w:t>
      </w:r>
      <w:r>
        <w:rPr>
          <w:rFonts w:hint="default" w:ascii="Times New Roman" w:hAnsi="Times New Roman" w:eastAsia="楷体_GB2312" w:cs="Times New Roman"/>
          <w:color w:val="000000" w:themeColor="text1"/>
          <w:kern w:val="2"/>
          <w:sz w:val="28"/>
          <w:szCs w:val="28"/>
          <w:lang w:val="en-US" w:eastAsia="zh-CN" w:bidi="ar"/>
          <w14:textFill>
            <w14:solidFill>
              <w14:schemeClr w14:val="tx1"/>
            </w14:solidFill>
          </w14:textFill>
        </w:rPr>
        <w:t>此表一式3份（A3对折双面打印），报民政厅主管处室1份，市州民政局留存1份，公墓档案存档1份。</w:t>
      </w:r>
    </w:p>
    <w:p>
      <w:pPr>
        <w:keepNext w:val="0"/>
        <w:keepLines w:val="0"/>
        <w:widowControl w:val="0"/>
        <w:suppressLineNumbers w:val="0"/>
        <w:spacing w:before="0" w:beforeAutospacing="0" w:after="0" w:afterAutospacing="0"/>
        <w:ind w:left="0" w:right="0"/>
        <w:jc w:val="both"/>
        <w:rPr>
          <w:rFonts w:hint="default" w:ascii="Times New Roman" w:hAnsi="Times New Roman" w:cs="Times New Roman"/>
          <w:color w:val="000000" w:themeColor="text1"/>
          <w:lang w:val="en-US"/>
          <w14:textFill>
            <w14:solidFill>
              <w14:schemeClr w14:val="tx1"/>
            </w14:solidFill>
          </w14:textFill>
        </w:rPr>
      </w:pPr>
    </w:p>
    <w:p>
      <w:pPr>
        <w:pStyle w:val="9"/>
        <w:rPr>
          <w:lang w:val="en-US"/>
        </w:rPr>
      </w:pPr>
    </w:p>
    <w:p>
      <w:pPr>
        <w:pStyle w:val="9"/>
        <w:rPr>
          <w:rFonts w:hint="eastAsia" w:eastAsiaTheme="minorEastAsia"/>
          <w:lang w:val="en-US" w:eastAsia="zh-CN"/>
        </w:rPr>
      </w:pPr>
    </w:p>
    <w:p>
      <w:pPr>
        <w:pStyle w:val="9"/>
        <w:rPr>
          <w:lang w:val="en-US"/>
        </w:rPr>
      </w:pPr>
    </w:p>
    <w:p>
      <w:pPr>
        <w:pStyle w:val="9"/>
        <w:rPr>
          <w:lang w:val="en-US"/>
        </w:rPr>
      </w:pPr>
    </w:p>
    <w:p>
      <w:pPr>
        <w:pStyle w:val="9"/>
        <w:rPr>
          <w:lang w:val="en-US"/>
        </w:rPr>
      </w:pPr>
    </w:p>
    <w:p>
      <w:pPr>
        <w:keepNext w:val="0"/>
        <w:keepLines w:val="0"/>
        <w:widowControl w:val="0"/>
        <w:suppressLineNumbers w:val="0"/>
        <w:spacing w:before="0" w:beforeAutospacing="0" w:after="0" w:afterAutospacing="0"/>
        <w:ind w:left="0" w:right="0"/>
        <w:jc w:val="both"/>
        <w:rPr>
          <w:color w:val="000000" w:themeColor="text1"/>
          <w:lang w:val="en-US"/>
          <w14:textFill>
            <w14:solidFill>
              <w14:schemeClr w14:val="tx1"/>
            </w14:solidFill>
          </w14:textFill>
        </w:rPr>
      </w:pPr>
    </w:p>
    <w:p>
      <w:pPr>
        <w:keepNext w:val="0"/>
        <w:keepLines w:val="0"/>
        <w:widowControl w:val="0"/>
        <w:suppressLineNumbers w:val="0"/>
        <w:spacing w:before="0" w:beforeAutospacing="0" w:after="0" w:afterAutospacing="0"/>
        <w:ind w:left="0" w:right="0"/>
        <w:jc w:val="both"/>
        <w:rPr>
          <w:color w:val="000000" w:themeColor="text1"/>
          <w:lang w:val="en-US"/>
          <w14:textFill>
            <w14:solidFill>
              <w14:schemeClr w14:val="tx1"/>
            </w14:solidFill>
          </w14:textFill>
        </w:rPr>
      </w:pPr>
    </w:p>
    <w:p>
      <w:pPr>
        <w:spacing w:line="20" w:lineRule="exact"/>
        <w:rPr>
          <w:rFonts w:ascii="宋体" w:cs="Times New Roman"/>
          <w:color w:val="000000"/>
        </w:rPr>
      </w:pPr>
    </w:p>
    <w:p>
      <w:pPr>
        <w:spacing w:line="20" w:lineRule="exact"/>
        <w:rPr>
          <w:rFonts w:ascii="宋体" w:cs="Times New Roman"/>
          <w:color w:val="000000"/>
        </w:rPr>
      </w:pPr>
    </w:p>
    <w:p>
      <w:pPr>
        <w:spacing w:line="20" w:lineRule="exact"/>
        <w:rPr>
          <w:rFonts w:ascii="宋体" w:cs="Times New Roman"/>
          <w:color w:val="000000"/>
        </w:rPr>
      </w:pPr>
    </w:p>
    <w:p>
      <w:pPr>
        <w:spacing w:line="20" w:lineRule="exact"/>
        <w:rPr>
          <w:rFonts w:ascii="宋体" w:cs="Times New Roman"/>
          <w:color w:val="000000"/>
        </w:rPr>
      </w:pPr>
    </w:p>
    <w:p>
      <w:pPr>
        <w:spacing w:line="20" w:lineRule="exact"/>
        <w:rPr>
          <w:rFonts w:ascii="宋体" w:cs="Times New Roman"/>
          <w:color w:val="000000"/>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rPr>
          <w:rFonts w:ascii="宋体" w:cs="Times New Roman"/>
          <w:color w:val="000000"/>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p>
      <w:pPr>
        <w:spacing w:line="20" w:lineRule="exact"/>
        <w:ind w:firstLine="640" w:firstLineChars="200"/>
        <w:rPr>
          <w:rFonts w:eastAsia="仿宋_GB2312" w:cs="Times New Roman"/>
          <w:sz w:val="32"/>
          <w:szCs w:val="32"/>
        </w:rPr>
      </w:pPr>
    </w:p>
    <w:tbl>
      <w:tblPr>
        <w:tblStyle w:val="10"/>
        <w:tblW w:w="906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60" w:type="dxa"/>
            <w:vAlign w:val="top"/>
          </w:tcPr>
          <w:p>
            <w:pPr>
              <w:keepNext w:val="0"/>
              <w:keepLines w:val="0"/>
              <w:suppressLineNumbers w:val="0"/>
              <w:spacing w:before="0" w:beforeAutospacing="0" w:after="0" w:afterAutospacing="0" w:line="520" w:lineRule="exact"/>
              <w:ind w:left="0" w:right="0"/>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val="en-US" w:eastAsia="zh-CN"/>
              </w:rPr>
              <w:t xml:space="preserve"> 主动</w:t>
            </w:r>
            <w:r>
              <w:rPr>
                <w:rFonts w:hint="eastAsia" w:ascii="Times New Roman" w:hAnsi="Times New Roman" w:eastAsia="仿宋_GB2312" w:cs="Times New Roman"/>
                <w:sz w:val="28"/>
                <w:szCs w:val="28"/>
                <w:lang w:eastAsia="zh-CN"/>
              </w:rPr>
              <w:t>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60" w:type="dxa"/>
            <w:vAlign w:val="top"/>
          </w:tcPr>
          <w:p>
            <w:pPr>
              <w:keepNext w:val="0"/>
              <w:keepLines w:val="0"/>
              <w:suppressLineNumbers w:val="0"/>
              <w:spacing w:before="0" w:beforeAutospacing="0" w:after="0" w:afterAutospacing="0" w:line="520" w:lineRule="exact"/>
              <w:ind w:left="-139" w:leftChars="-66" w:right="0" w:firstLine="280" w:firstLineChars="100"/>
              <w:rPr>
                <w:rFonts w:hint="default" w:ascii="Times New Roman" w:hAnsi="Times New Roman" w:eastAsia="仿宋_GB2312" w:cs="Times New Roman"/>
                <w:sz w:val="28"/>
                <w:szCs w:val="28"/>
              </w:rPr>
            </w:pPr>
            <w:r>
              <w:rPr>
                <w:rFonts w:hint="eastAsia" w:ascii="Times New Roman" w:eastAsia="仿宋_GB2312" w:cs="仿宋_GB2312"/>
                <w:sz w:val="28"/>
                <w:szCs w:val="28"/>
              </w:rPr>
              <w:t>湖南省民政厅办公室</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heme="minorEastAsia" w:hAnsiTheme="minorEastAsia" w:eastAsiaTheme="minorEastAsia" w:cstheme="minorEastAsia"/>
                <w:sz w:val="28"/>
                <w:szCs w:val="28"/>
              </w:rPr>
              <w:t>202</w:t>
            </w:r>
            <w:r>
              <w:rPr>
                <w:rFonts w:hint="eastAsia" w:asciiTheme="minorEastAsia" w:hAnsiTheme="minorEastAsia" w:cstheme="minorEastAsia"/>
                <w:sz w:val="28"/>
                <w:szCs w:val="28"/>
                <w:lang w:val="en-US" w:eastAsia="zh-CN"/>
              </w:rPr>
              <w:t>5</w:t>
            </w:r>
            <w:r>
              <w:rPr>
                <w:rFonts w:hint="eastAsia" w:ascii="Times New Roman" w:eastAsia="仿宋_GB2312" w:cs="仿宋_GB2312"/>
                <w:sz w:val="28"/>
                <w:szCs w:val="28"/>
              </w:rPr>
              <w:t>年</w:t>
            </w:r>
            <w:r>
              <w:rPr>
                <w:rFonts w:hint="eastAsia" w:asciiTheme="minorEastAsia" w:hAnsiTheme="minorEastAsia" w:cstheme="minorEastAsia"/>
                <w:sz w:val="28"/>
                <w:szCs w:val="28"/>
                <w:lang w:val="en-US" w:eastAsia="zh-CN"/>
              </w:rPr>
              <w:t>8</w:t>
            </w:r>
            <w:r>
              <w:rPr>
                <w:rFonts w:hint="eastAsia" w:ascii="Times New Roman" w:eastAsia="仿宋_GB2312" w:cs="仿宋_GB2312"/>
                <w:sz w:val="28"/>
                <w:szCs w:val="28"/>
              </w:rPr>
              <w:t>月</w:t>
            </w:r>
            <w:r>
              <w:rPr>
                <w:rFonts w:hint="eastAsia" w:asciiTheme="minorEastAsia" w:hAnsiTheme="minorEastAsia" w:cstheme="minorEastAsia"/>
                <w:sz w:val="28"/>
                <w:szCs w:val="28"/>
                <w:lang w:val="en-US" w:eastAsia="zh-CN"/>
              </w:rPr>
              <w:t>7</w:t>
            </w:r>
            <w:r>
              <w:rPr>
                <w:rFonts w:hint="eastAsia" w:ascii="Times New Roman" w:eastAsia="仿宋_GB2312" w:cs="仿宋_GB2312"/>
                <w:sz w:val="28"/>
                <w:szCs w:val="28"/>
              </w:rPr>
              <w:t>日印发</w:t>
            </w:r>
          </w:p>
        </w:tc>
      </w:tr>
    </w:tbl>
    <w:p>
      <w:pPr>
        <w:spacing w:line="20" w:lineRule="exact"/>
        <w:rPr>
          <w:rFonts w:hint="default" w:cs="Times New Roman"/>
        </w:rPr>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default" w:ascii="Times New Roman" w:hAnsi="Times New Roman" w:cs="Times New Roman"/>
        </w:rPr>
      </w:pPr>
      <w:r>
        <w:rPr>
          <w:rFonts w:hint="eastAsia" w:eastAsiaTheme="minorEastAsia"/>
          <w:lang w:val="en-US" w:eastAsia="zh-CN"/>
        </w:rPr>
        <w:drawing>
          <wp:anchor distT="0" distB="0" distL="114300" distR="114300" simplePos="0" relativeHeight="251659264" behindDoc="0" locked="0" layoutInCell="1" allowOverlap="1">
            <wp:simplePos x="0" y="0"/>
            <wp:positionH relativeFrom="column">
              <wp:posOffset>3240405</wp:posOffset>
            </wp:positionH>
            <wp:positionV relativeFrom="paragraph">
              <wp:posOffset>35560</wp:posOffset>
            </wp:positionV>
            <wp:extent cx="2489835" cy="498475"/>
            <wp:effectExtent l="0" t="0" r="5715" b="15875"/>
            <wp:wrapNone/>
            <wp:docPr id="2" name="图片 2" descr="经营性公墓的发文赋码"/>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经营性公墓的发文赋码"/>
                    <pic:cNvPicPr>
                      <a:picLocks noChangeAspect="true"/>
                    </pic:cNvPicPr>
                  </pic:nvPicPr>
                  <pic:blipFill>
                    <a:blip r:embed="rId5"/>
                    <a:stretch>
                      <a:fillRect/>
                    </a:stretch>
                  </pic:blipFill>
                  <pic:spPr>
                    <a:xfrm>
                      <a:off x="0" y="0"/>
                      <a:ext cx="2489835" cy="498475"/>
                    </a:xfrm>
                    <a:prstGeom prst="rect">
                      <a:avLst/>
                    </a:prstGeom>
                  </pic:spPr>
                </pic:pic>
              </a:graphicData>
            </a:graphic>
          </wp:anchor>
        </w:drawing>
      </w:r>
    </w:p>
    <w:sectPr>
      <w:pgSz w:w="11906" w:h="16838"/>
      <w:pgMar w:top="2154" w:right="1474" w:bottom="1361" w:left="1587" w:header="0"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ialog">
    <w:altName w:val="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Luxi Sans">
    <w:altName w:val="华文仿宋"/>
    <w:panose1 w:val="00000000000000000000"/>
    <w:charset w:val="00"/>
    <w:family w:val="auto"/>
    <w:pitch w:val="default"/>
    <w:sig w:usb0="00000000" w:usb1="00000000" w:usb2="00000000" w:usb3="00000000" w:csb0="00040001" w:csb1="00000000"/>
  </w:font>
  <w:font w:name="方正仿宋简体">
    <w:altName w:val="方正仿宋_GBK"/>
    <w:panose1 w:val="03000509000000000000"/>
    <w:charset w:val="86"/>
    <w:family w:val="auto"/>
    <w:pitch w:val="default"/>
    <w:sig w:usb0="00000000" w:usb1="00000000" w:usb2="00000000" w:usb3="00000000" w:csb0="00040000" w:csb1="00000000"/>
  </w:font>
  <w:font w:name="方正大标宋简体">
    <w:altName w:val="方正书宋_GBK"/>
    <w:panose1 w:val="03000509000000000000"/>
    <w:charset w:val="86"/>
    <w:family w:val="script"/>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71"/>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A63183"/>
    <w:rsid w:val="004246C8"/>
    <w:rsid w:val="04EF21D9"/>
    <w:rsid w:val="0DF475AD"/>
    <w:rsid w:val="10A63183"/>
    <w:rsid w:val="12FA624F"/>
    <w:rsid w:val="1FB2654A"/>
    <w:rsid w:val="25EB7F3C"/>
    <w:rsid w:val="52504404"/>
    <w:rsid w:val="55DB7D83"/>
    <w:rsid w:val="574D2B8B"/>
    <w:rsid w:val="5FC9310E"/>
    <w:rsid w:val="60127ADE"/>
    <w:rsid w:val="686627D8"/>
    <w:rsid w:val="78C36D40"/>
    <w:rsid w:val="79CF5610"/>
    <w:rsid w:val="7D1E2AD8"/>
    <w:rsid w:val="7ED23265"/>
    <w:rsid w:val="7F7F068D"/>
    <w:rsid w:val="D73FC5A9"/>
    <w:rsid w:val="EEBF16FC"/>
    <w:rsid w:val="FFBCC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5"/>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3"/>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5">
    <w:name w:val="Body Text Indent"/>
    <w:basedOn w:val="1"/>
    <w:qFormat/>
    <w:uiPriority w:val="0"/>
    <w:pPr>
      <w:spacing w:after="120"/>
      <w:ind w:left="200" w:leftChars="200"/>
    </w:pPr>
  </w:style>
  <w:style w:type="paragraph" w:styleId="6">
    <w:name w:val="Balloon Text"/>
    <w:basedOn w:val="1"/>
    <w:link w:val="14"/>
    <w:qFormat/>
    <w:uiPriority w:val="0"/>
    <w:rPr>
      <w:sz w:val="18"/>
    </w:rPr>
  </w:style>
  <w:style w:type="paragraph" w:styleId="7">
    <w:name w:val="footer"/>
    <w:basedOn w:val="1"/>
    <w:link w:val="16"/>
    <w:qFormat/>
    <w:uiPriority w:val="0"/>
    <w:pPr>
      <w:keepNext w:val="0"/>
      <w:keepLines w:val="0"/>
      <w:widowControl w:val="0"/>
      <w:suppressLineNumbers w:val="0"/>
      <w:tabs>
        <w:tab w:val="center" w:pos="4153"/>
        <w:tab w:val="right" w:pos="8306"/>
      </w:tabs>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8">
    <w:name w:val="header"/>
    <w:basedOn w:val="1"/>
    <w:link w:val="1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5"/>
    <w:qFormat/>
    <w:uiPriority w:val="0"/>
    <w:pPr>
      <w:ind w:firstLine="200" w:firstLineChars="200"/>
    </w:pPr>
  </w:style>
  <w:style w:type="character" w:styleId="12">
    <w:name w:val="page number"/>
    <w:basedOn w:val="11"/>
    <w:qFormat/>
    <w:uiPriority w:val="0"/>
  </w:style>
  <w:style w:type="character" w:customStyle="1" w:styleId="13">
    <w:name w:val="标题 3 Char"/>
    <w:basedOn w:val="11"/>
    <w:link w:val="4"/>
    <w:qFormat/>
    <w:uiPriority w:val="0"/>
    <w:rPr>
      <w:rFonts w:hint="default" w:ascii="Calibri" w:hAnsi="Calibri" w:eastAsia="宋体" w:cs="Times New Roman"/>
      <w:b/>
      <w:kern w:val="2"/>
      <w:sz w:val="32"/>
      <w:szCs w:val="22"/>
    </w:rPr>
  </w:style>
  <w:style w:type="character" w:customStyle="1" w:styleId="14">
    <w:name w:val="批注框文本 Char"/>
    <w:basedOn w:val="11"/>
    <w:link w:val="6"/>
    <w:qFormat/>
    <w:uiPriority w:val="0"/>
    <w:rPr>
      <w:rFonts w:hint="default" w:ascii="Calibri" w:hAnsi="Calibri" w:eastAsia="宋体" w:cs="Times New Roman"/>
      <w:kern w:val="2"/>
      <w:sz w:val="18"/>
      <w:szCs w:val="18"/>
    </w:rPr>
  </w:style>
  <w:style w:type="character" w:customStyle="1" w:styleId="15">
    <w:name w:val="标题 2 Char"/>
    <w:basedOn w:val="11"/>
    <w:link w:val="3"/>
    <w:qFormat/>
    <w:uiPriority w:val="0"/>
    <w:rPr>
      <w:rFonts w:hint="default" w:ascii="Luxi Sans" w:hAnsi="Luxi Sans" w:eastAsia="黑体" w:cs="Times New Roman"/>
      <w:b/>
      <w:kern w:val="2"/>
      <w:sz w:val="32"/>
      <w:szCs w:val="22"/>
    </w:rPr>
  </w:style>
  <w:style w:type="character" w:customStyle="1" w:styleId="16">
    <w:name w:val="页脚 Char"/>
    <w:basedOn w:val="11"/>
    <w:link w:val="7"/>
    <w:qFormat/>
    <w:uiPriority w:val="0"/>
    <w:rPr>
      <w:rFonts w:hint="default" w:ascii="Calibri" w:hAnsi="Calibri" w:eastAsia="宋体" w:cs="Times New Roman"/>
      <w:kern w:val="2"/>
      <w:sz w:val="18"/>
      <w:szCs w:val="18"/>
    </w:rPr>
  </w:style>
  <w:style w:type="character" w:customStyle="1" w:styleId="17">
    <w:name w:val="标题 1 Char"/>
    <w:basedOn w:val="11"/>
    <w:link w:val="2"/>
    <w:qFormat/>
    <w:uiPriority w:val="0"/>
    <w:rPr>
      <w:rFonts w:hint="default" w:ascii="Calibri" w:hAnsi="Calibri" w:eastAsia="宋体" w:cs="Times New Roman"/>
      <w:b/>
      <w:kern w:val="44"/>
      <w:sz w:val="44"/>
      <w:szCs w:val="22"/>
    </w:rPr>
  </w:style>
  <w:style w:type="paragraph" w:customStyle="1" w:styleId="18">
    <w:name w:val="常用样式（方正仿宋简）"/>
    <w:basedOn w:val="1"/>
    <w:qFormat/>
    <w:uiPriority w:val="0"/>
    <w:pPr>
      <w:keepNext w:val="0"/>
      <w:keepLines w:val="0"/>
      <w:widowControl w:val="0"/>
      <w:suppressLineNumbers w:val="0"/>
      <w:spacing w:before="0" w:beforeAutospacing="0" w:after="0" w:afterAutospacing="0" w:line="560" w:lineRule="exact"/>
      <w:ind w:left="0" w:right="0" w:firstLine="200" w:firstLineChars="200"/>
      <w:jc w:val="both"/>
    </w:pPr>
    <w:rPr>
      <w:rFonts w:hint="default" w:ascii="Calibri" w:hAnsi="Calibri" w:eastAsia="方正仿宋简体" w:cs="Times New Roman"/>
      <w:kern w:val="2"/>
      <w:sz w:val="32"/>
      <w:szCs w:val="22"/>
      <w:lang w:val="en-US" w:eastAsia="zh-CN" w:bidi="ar"/>
    </w:rPr>
  </w:style>
  <w:style w:type="character" w:customStyle="1" w:styleId="19">
    <w:name w:val="页眉 Char"/>
    <w:basedOn w:val="11"/>
    <w:link w:val="8"/>
    <w:qFormat/>
    <w:uiPriority w:val="0"/>
    <w:rPr>
      <w:rFonts w:hint="default" w:ascii="Calibri" w:hAnsi="Calibri" w:eastAsia="宋体" w:cs="Times New Roman"/>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5263</Words>
  <Characters>5304</Characters>
  <Lines>0</Lines>
  <Paragraphs>0</Paragraphs>
  <TotalTime>107</TotalTime>
  <ScaleCrop>false</ScaleCrop>
  <LinksUpToDate>false</LinksUpToDate>
  <CharactersWithSpaces>5760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2025-06-21T16:24:00Z</dcterms:created>
  <dc:creator>Administrator</dc:creator>
  <cp:lastModifiedBy>greatwall</cp:lastModifiedBy>
  <cp:lastPrinted>2025-08-08T01:52:00Z</cp:lastPrinted>
  <dcterms:modified xsi:type="dcterms:W3CDTF">2025-09-15T17:21:16Z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E3BCDCA162F9443AAE0BB25089BB8028_13</vt:lpwstr>
  </property>
</Properties>
</file>