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ascii="Times New Roman" w:hAnsi="Times New Roman" w:eastAsia="方正大标宋简体" w:cs="Times New Roman"/>
          <w:color w:val="auto"/>
          <w:spacing w:val="40"/>
          <w:w w:val="55"/>
          <w:sz w:val="32"/>
          <w:szCs w:val="32"/>
          <w:u w:val="none"/>
        </w:rPr>
      </w:pPr>
      <w:r>
        <w:rPr>
          <w:rFonts w:hint="default" w:ascii="Times New Roman" w:hAnsi="Times New Roman" w:cs="Times New Roman"/>
          <w:sz w:val="32"/>
          <w:szCs w:val="32"/>
          <w:lang w:val="en-US" w:eastAsia="zh-CN"/>
        </w:rPr>
        <w:t>HNPR</w:t>
      </w:r>
      <w:r>
        <w:rPr>
          <w:rFonts w:hint="eastAsia" w:ascii="宋体" w:hAnsi="宋体" w:eastAsia="宋体" w:cs="宋体"/>
          <w:sz w:val="32"/>
          <w:szCs w:val="32"/>
          <w:lang w:val="en-US" w:eastAsia="zh-CN"/>
        </w:rPr>
        <w:t>－</w:t>
      </w:r>
      <w:r>
        <w:rPr>
          <w:rFonts w:hint="default" w:ascii="Times New Roman" w:hAnsi="Times New Roman" w:cs="Times New Roman"/>
          <w:sz w:val="32"/>
          <w:szCs w:val="32"/>
          <w:lang w:val="en-US" w:eastAsia="zh-CN"/>
        </w:rPr>
        <w:t>2025</w:t>
      </w:r>
      <w:r>
        <w:rPr>
          <w:rFonts w:hint="eastAsia" w:ascii="宋体" w:hAnsi="宋体" w:eastAsia="宋体" w:cs="宋体"/>
          <w:sz w:val="32"/>
          <w:szCs w:val="32"/>
          <w:lang w:val="en-US" w:eastAsia="zh-CN"/>
        </w:rPr>
        <w:t>－</w:t>
      </w:r>
      <w:r>
        <w:rPr>
          <w:rFonts w:hint="default" w:ascii="Times New Roman" w:hAnsi="Times New Roman" w:cs="Times New Roman"/>
          <w:sz w:val="32"/>
          <w:szCs w:val="32"/>
          <w:lang w:val="en-US" w:eastAsia="zh-CN"/>
        </w:rPr>
        <w:t>04002</w:t>
      </w:r>
      <w:r>
        <w:rPr>
          <w:rFonts w:hint="default" w:ascii="Times New Roman" w:hAnsi="Times New Roman" w:eastAsia="方正大标宋简体" w:cs="Times New Roman"/>
          <w:color w:val="FFFFFF"/>
          <w:spacing w:val="40"/>
          <w:w w:val="55"/>
          <w:sz w:val="32"/>
          <w:szCs w:val="32"/>
          <w:u w:val="none"/>
          <w:shd w:val="clear" w:color="auto" w:fill="auto"/>
        </w:rPr>
        <w:t>湖南省科学技术</w:t>
      </w:r>
    </w:p>
    <w:p>
      <w:pPr>
        <w:spacing w:line="880" w:lineRule="exact"/>
        <w:ind w:left="-63" w:leftChars="-30" w:firstLine="62" w:firstLineChars="8"/>
        <w:jc w:val="center"/>
        <w:rPr>
          <w:rFonts w:ascii="Times New Roman" w:hAnsi="Times New Roman" w:eastAsia="方正大标宋简体"/>
          <w:color w:val="auto"/>
          <w:spacing w:val="40"/>
          <w:w w:val="55"/>
          <w:sz w:val="128"/>
          <w:szCs w:val="128"/>
          <w:u w:val="none"/>
        </w:rPr>
      </w:pPr>
    </w:p>
    <w:p>
      <w:pPr>
        <w:pStyle w:val="2"/>
      </w:pPr>
    </w:p>
    <w:p>
      <w:pPr>
        <w:pStyle w:val="2"/>
      </w:pPr>
    </w:p>
    <w:p>
      <w:pPr>
        <w:spacing w:line="480" w:lineRule="exact"/>
        <w:rPr>
          <w:rFonts w:ascii="Times New Roman" w:hAnsi="Times New Roman"/>
          <w:color w:val="auto"/>
          <w:sz w:val="32"/>
          <w:szCs w:val="32"/>
          <w:u w:val="none"/>
          <w:shd w:val="clear" w:color="auto" w:fill="auto"/>
        </w:rPr>
      </w:pPr>
    </w:p>
    <w:p>
      <w:pPr>
        <w:pStyle w:val="2"/>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Lines="0" w:after="251" w:afterLines="80" w:line="160" w:lineRule="exact"/>
        <w:ind w:left="0" w:leftChars="0" w:right="0" w:rightChars="0" w:firstLine="0" w:firstLineChars="0"/>
        <w:jc w:val="center"/>
        <w:textAlignment w:val="auto"/>
        <w:outlineLvl w:val="9"/>
        <w:rPr>
          <w:rFonts w:ascii="Times New Roman" w:hAnsi="Times New Roman" w:eastAsia="方正仿宋_GBK"/>
          <w:color w:val="auto"/>
          <w:sz w:val="32"/>
          <w:szCs w:val="32"/>
          <w:u w:val="none"/>
        </w:rPr>
      </w:pPr>
    </w:p>
    <w:p>
      <w:pPr>
        <w:pStyle w:val="2"/>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0"/>
        <w:jc w:val="both"/>
        <w:textAlignment w:val="auto"/>
        <w:outlineLvl w:val="9"/>
        <w:rPr>
          <w:rFonts w:ascii="Times New Roman" w:hAnsi="Times New Roman"/>
        </w:rPr>
      </w:pPr>
    </w:p>
    <w:p>
      <w:pPr>
        <w:spacing w:after="312" w:afterLines="100" w:line="580" w:lineRule="exact"/>
        <w:jc w:val="center"/>
        <w:rPr>
          <w:rFonts w:ascii="Times New Roman" w:hAnsi="Times New Roman" w:eastAsia="楷体_GB2312"/>
          <w:color w:val="auto"/>
          <w:sz w:val="32"/>
          <w:szCs w:val="32"/>
          <w:u w:val="none"/>
        </w:rPr>
      </w:pPr>
      <w:r>
        <w:rPr>
          <w:rFonts w:hint="eastAsia" w:ascii="Times New Roman" w:hAnsi="Times New Roman" w:eastAsia="仿宋_GB2312" w:cs="仿宋_GB2312"/>
          <w:color w:val="auto"/>
          <w:sz w:val="32"/>
          <w:szCs w:val="32"/>
          <w:u w:val="none"/>
        </w:rPr>
        <w:t>湘科</w:t>
      </w:r>
      <w:r>
        <w:rPr>
          <w:rFonts w:hint="eastAsia" w:ascii="Times New Roman" w:hAnsi="Times New Roman" w:eastAsia="仿宋_GB2312" w:cs="仿宋_GB2312"/>
          <w:color w:val="auto"/>
          <w:sz w:val="32"/>
          <w:szCs w:val="32"/>
          <w:u w:val="none"/>
          <w:lang w:eastAsia="zh-CN"/>
        </w:rPr>
        <w:t>发</w:t>
      </w:r>
      <w:r>
        <w:rPr>
          <w:rFonts w:hint="default" w:ascii="Times New Roman" w:hAnsi="Times New Roman" w:eastAsia="仿宋_GB2312" w:cs="Times New Roman"/>
          <w:color w:val="auto"/>
          <w:sz w:val="32"/>
          <w:szCs w:val="32"/>
          <w:u w:val="none"/>
        </w:rPr>
        <w:t>〔202</w:t>
      </w:r>
      <w:r>
        <w:rPr>
          <w:rFonts w:hint="eastAsia"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44</w:t>
      </w:r>
      <w:r>
        <w:rPr>
          <w:rFonts w:ascii="Times New Roman" w:hAnsi="Times New Roman" w:eastAsia="仿宋_GB2312"/>
          <w:color w:val="auto"/>
          <w:sz w:val="32"/>
          <w:szCs w:val="32"/>
          <w:u w:val="none"/>
        </w:rPr>
        <w:t xml:space="preserve">号  </w:t>
      </w:r>
      <w:r>
        <w:rPr>
          <w:rFonts w:hint="eastAsia" w:ascii="Times New Roman" w:hAnsi="Times New Roman" w:eastAsia="仿宋_GB2312"/>
          <w:color w:val="auto"/>
          <w:sz w:val="32"/>
          <w:szCs w:val="32"/>
          <w:u w:val="none"/>
          <w:lang w:val="en-US" w:eastAsia="zh-CN"/>
        </w:rPr>
        <w:t xml:space="preserve"> </w:t>
      </w:r>
      <w:r>
        <w:rPr>
          <w:rFonts w:ascii="Times New Roman" w:hAnsi="Times New Roman" w:eastAsia="仿宋_GB2312"/>
          <w:color w:val="auto"/>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beforeLines="0" w:after="120" w:afterLines="0" w:line="160" w:lineRule="exact"/>
        <w:ind w:left="0" w:leftChars="0" w:right="0" w:rightChars="0" w:firstLine="0" w:firstLineChars="0"/>
        <w:jc w:val="both"/>
        <w:textAlignment w:val="auto"/>
        <w:outlineLvl w:val="9"/>
        <w:rPr>
          <w:rFonts w:ascii="Times New Roman" w:hAnsi="Times New Roman" w:eastAsia="方正小标宋简体"/>
          <w:color w:val="auto"/>
          <w:sz w:val="40"/>
          <w:szCs w:val="40"/>
          <w:u w:val="none"/>
        </w:rPr>
      </w:pPr>
    </w:p>
    <w:p>
      <w:pPr>
        <w:pStyle w:val="2"/>
        <w:ind w:left="0" w:leftChars="0" w:firstLine="0" w:firstLineChars="0"/>
        <w:rPr>
          <w:rFonts w:ascii="Times New Roman" w:hAnsi="Times New Roman" w:eastAsia="方正小标宋简体"/>
          <w:color w:val="auto"/>
          <w:sz w:val="40"/>
          <w:szCs w:val="40"/>
          <w:u w:val="none"/>
        </w:rPr>
      </w:pPr>
    </w:p>
    <w:p>
      <w:pPr>
        <w:keepNext w:val="0"/>
        <w:keepLines w:val="0"/>
        <w:pageBreakBefore w:val="0"/>
        <w:widowControl w:val="0"/>
        <w:kinsoku/>
        <w:wordWrap/>
        <w:overflowPunct/>
        <w:topLinePunct w:val="0"/>
        <w:autoSpaceDE/>
        <w:autoSpaceDN/>
        <w:bidi w:val="0"/>
        <w:adjustRightInd/>
        <w:snapToGrid/>
        <w:spacing w:beforeLines="0" w:afterLines="0" w:line="320" w:lineRule="exact"/>
        <w:ind w:left="0" w:leftChars="0" w:right="0" w:rightChars="0" w:firstLine="0" w:firstLineChars="0"/>
        <w:jc w:val="center"/>
        <w:textAlignment w:val="auto"/>
        <w:outlineLvl w:val="9"/>
        <w:rPr>
          <w:rFonts w:hint="eastAsia" w:ascii="Times New Roman" w:hAnsi="Times New Roman" w:eastAsia="方正小标宋简体" w:cs="方正小标宋简体"/>
          <w:color w:val="auto"/>
          <w:spacing w:val="0"/>
          <w:w w:val="100"/>
          <w:sz w:val="44"/>
          <w:szCs w:val="44"/>
          <w:u w:val="none"/>
          <w:lang w:val="en-US" w:eastAsia="zh-CN"/>
        </w:rPr>
      </w:pPr>
    </w:p>
    <w:p>
      <w:pPr>
        <w:pStyle w:val="5"/>
        <w:keepNext w:val="0"/>
        <w:keepLines w:val="0"/>
        <w:pageBreakBefore w:val="0"/>
        <w:kinsoku/>
        <w:overflowPunct/>
        <w:topLinePunct w:val="0"/>
        <w:autoSpaceDE/>
        <w:autoSpaceDN/>
        <w:bidi w:val="0"/>
        <w:adjustRightInd/>
        <w:snapToGrid/>
        <w:spacing w:before="0" w:beforeLines="0" w:after="0" w:afterLines="0" w:line="580" w:lineRule="exact"/>
        <w:ind w:left="0" w:leftChars="0"/>
        <w:jc w:val="center"/>
        <w:textAlignment w:val="auto"/>
        <w:rPr>
          <w:rFonts w:hint="eastAsia" w:ascii="Times New Roman" w:hAnsi="Times New Roman" w:eastAsia="方正小标宋简体" w:cs="方正小标宋简体"/>
          <w:spacing w:val="0"/>
          <w:w w:val="100"/>
          <w:kern w:val="0"/>
          <w:sz w:val="44"/>
          <w:szCs w:val="44"/>
          <w:lang w:eastAsia="zh-CN"/>
        </w:rPr>
      </w:pPr>
      <w:r>
        <w:rPr>
          <w:rFonts w:hint="eastAsia" w:ascii="Times New Roman" w:hAnsi="Times New Roman" w:eastAsia="方正小标宋简体" w:cs="方正小标宋简体"/>
          <w:spacing w:val="0"/>
          <w:w w:val="100"/>
          <w:kern w:val="0"/>
          <w:sz w:val="44"/>
          <w:szCs w:val="44"/>
          <w:lang w:eastAsia="zh-CN"/>
        </w:rPr>
        <w:t>湖南省科学技术厅</w:t>
      </w:r>
    </w:p>
    <w:p>
      <w:pPr>
        <w:pStyle w:val="9"/>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pacing w:val="-11"/>
          <w:sz w:val="44"/>
          <w:szCs w:val="44"/>
          <w:lang w:eastAsia="zh-CN"/>
        </w:rPr>
        <w:t>关于印发《湖南省实验动物管理行政处罚裁量</w:t>
      </w:r>
      <w:r>
        <w:rPr>
          <w:rFonts w:hint="eastAsia" w:ascii="Times New Roman" w:hAnsi="Times New Roman" w:eastAsia="方正小标宋简体" w:cs="方正小标宋简体"/>
          <w:sz w:val="44"/>
          <w:szCs w:val="44"/>
          <w:lang w:eastAsia="zh-CN"/>
        </w:rPr>
        <w:t>权基准》《湖南省实验动物管理免予</w:t>
      </w:r>
    </w:p>
    <w:p>
      <w:pPr>
        <w:pStyle w:val="9"/>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Times New Roman" w:hAnsi="Times New Roman" w:eastAsia="方正小标宋简体" w:cs="方正小标宋简体"/>
          <w:sz w:val="44"/>
          <w:szCs w:val="44"/>
          <w:lang w:eastAsia="zh-CN"/>
        </w:rPr>
      </w:pPr>
      <w:r>
        <w:rPr>
          <w:rFonts w:hint="eastAsia" w:ascii="Times New Roman" w:hAnsi="Times New Roman" w:eastAsia="方正小标宋简体" w:cs="方正小标宋简体"/>
          <w:sz w:val="44"/>
          <w:szCs w:val="44"/>
          <w:lang w:eastAsia="zh-CN"/>
        </w:rPr>
        <w:t>行政处罚事项清单》的通知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方正小标宋简体" w:cs="方正小标宋简体"/>
          <w:sz w:val="44"/>
          <w:szCs w:val="44"/>
          <w:lang w:eastAsia="zh-CN"/>
        </w:rPr>
      </w:pPr>
    </w:p>
    <w:p>
      <w:pPr>
        <w:pStyle w:val="10"/>
        <w:keepNext w:val="0"/>
        <w:keepLines w:val="0"/>
        <w:pageBreakBefore w:val="0"/>
        <w:widowControl w:val="0"/>
        <w:kinsoku/>
        <w:wordWrap/>
        <w:overflowPunct/>
        <w:topLinePunct w:val="0"/>
        <w:autoSpaceDE/>
        <w:autoSpaceDN/>
        <w:bidi w:val="0"/>
        <w:adjustRightInd/>
        <w:spacing w:line="610" w:lineRule="exact"/>
        <w:ind w:left="0" w:leftChars="0" w:right="0" w:rightChars="0"/>
        <w:jc w:val="left"/>
        <w:textAlignment w:val="auto"/>
        <w:outlineLvl w:val="9"/>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各市州科技局，各有关单位：</w:t>
      </w:r>
    </w:p>
    <w:p>
      <w:pPr>
        <w:pStyle w:val="9"/>
        <w:keepNext w:val="0"/>
        <w:keepLines w:val="0"/>
        <w:pageBreakBefore w:val="0"/>
        <w:widowControl w:val="0"/>
        <w:kinsoku/>
        <w:wordWrap/>
        <w:overflowPunct/>
        <w:topLinePunct w:val="0"/>
        <w:autoSpaceDE/>
        <w:autoSpaceDN/>
        <w:bidi w:val="0"/>
        <w:adjustRightInd/>
        <w:spacing w:line="610" w:lineRule="exact"/>
        <w:ind w:left="0" w:leftChars="0" w:right="0" w:rightChars="0" w:firstLine="640" w:firstLineChars="200"/>
        <w:jc w:val="left"/>
        <w:textAlignment w:val="auto"/>
        <w:outlineLvl w:val="9"/>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为贯彻落实《中华人民共和国生物安全法》《实验动物管理条例》《湖南省实验动物管理条例》等法律法规，推进严格规范公正文明执法，我厅制定了《湖南省实验动物管理行政处罚裁量权基准》《湖南省实验动物管理免予行政处罚事项清单》，现印发给你们，请遵照执行。</w:t>
      </w:r>
    </w:p>
    <w:p>
      <w:pPr>
        <w:spacing w:line="600" w:lineRule="exact"/>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本通知自印发之日起施行，有效期五年。</w:t>
      </w:r>
    </w:p>
    <w:p>
      <w:pPr>
        <w:pStyle w:val="10"/>
        <w:spacing w:line="60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附件：1. 湖南省实验动物管理行政处罚裁量权基准</w:t>
      </w:r>
    </w:p>
    <w:p>
      <w:pPr>
        <w:pStyle w:val="9"/>
        <w:spacing w:line="600" w:lineRule="exact"/>
        <w:ind w:left="0" w:leftChars="0" w:firstLine="1600" w:firstLineChars="5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 湖南省实验动物管理免予行政处罚事项清单</w:t>
      </w:r>
    </w:p>
    <w:p>
      <w:pPr>
        <w:spacing w:line="600" w:lineRule="exact"/>
        <w:rPr>
          <w:rFonts w:hint="eastAsia" w:ascii="Times New Roman" w:hAnsi="Times New Roman" w:eastAsia="仿宋_GB2312" w:cs="仿宋_GB2312"/>
          <w:sz w:val="32"/>
          <w:szCs w:val="32"/>
          <w:lang w:val="en-US" w:eastAsia="zh-CN"/>
        </w:rPr>
      </w:pPr>
    </w:p>
    <w:p>
      <w:pPr>
        <w:pStyle w:val="10"/>
        <w:spacing w:line="600" w:lineRule="exact"/>
        <w:rPr>
          <w:rFonts w:hint="eastAsia" w:ascii="Times New Roman" w:hAnsi="Times New Roman" w:eastAsia="仿宋_GB2312" w:cs="仿宋_GB2312"/>
          <w:sz w:val="32"/>
          <w:szCs w:val="32"/>
          <w:lang w:val="en-US" w:eastAsia="zh-CN"/>
        </w:rPr>
      </w:pPr>
    </w:p>
    <w:p>
      <w:pPr>
        <w:pStyle w:val="9"/>
        <w:spacing w:line="600" w:lineRule="exact"/>
        <w:ind w:left="0" w:leftChars="0" w:firstLine="4800" w:firstLineChars="1500"/>
        <w:jc w:val="both"/>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湖南省科学技术厅</w:t>
      </w:r>
    </w:p>
    <w:p>
      <w:pPr>
        <w:spacing w:line="600" w:lineRule="exact"/>
        <w:jc w:val="center"/>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 xml:space="preserve">                     2025年3月27日</w:t>
      </w:r>
    </w:p>
    <w:p>
      <w:pPr>
        <w:pStyle w:val="10"/>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2000" w:firstLineChars="625"/>
        <w:textAlignment w:val="auto"/>
        <w:rPr>
          <w:rFonts w:hint="eastAsia" w:ascii="Times New Roman" w:hAnsi="Times New Roman" w:eastAsia="仿宋_GB2312" w:cs="仿宋_GB2312"/>
          <w:sz w:val="32"/>
          <w:szCs w:val="32"/>
          <w:lang w:val="en-US" w:eastAsia="zh-CN"/>
        </w:rPr>
      </w:pPr>
    </w:p>
    <w:p>
      <w:pPr>
        <w:pStyle w:val="9"/>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p>
      <w:pPr>
        <w:pStyle w:val="2"/>
        <w:rPr>
          <w:rFonts w:hint="eastAsia" w:ascii="Times New Roman" w:hAnsi="Times New Roman"/>
          <w:lang w:val="en-US" w:eastAsia="zh-CN"/>
        </w:rPr>
      </w:pPr>
    </w:p>
    <w:tbl>
      <w:tblPr>
        <w:tblStyle w:val="15"/>
        <w:tblW w:w="8762"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762"/>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510" w:hRule="exact"/>
          <w:jc w:val="center"/>
        </w:trPr>
        <w:tc>
          <w:tcPr>
            <w:tcW w:w="8762" w:type="dxa"/>
            <w:vAlign w:val="top"/>
          </w:tcPr>
          <w:p>
            <w:pPr>
              <w:keepNext w:val="0"/>
              <w:keepLines w:val="0"/>
              <w:pageBreakBefore w:val="0"/>
              <w:widowControl w:val="0"/>
              <w:kinsoku/>
              <w:wordWrap/>
              <w:overflowPunct/>
              <w:topLinePunct w:val="0"/>
              <w:autoSpaceDE/>
              <w:autoSpaceDN/>
              <w:bidi w:val="0"/>
              <w:adjustRightInd/>
              <w:snapToGrid/>
              <w:spacing w:line="460" w:lineRule="exact"/>
              <w:ind w:left="-142" w:right="0" w:rightChars="0" w:firstLine="280" w:firstLineChars="100"/>
              <w:textAlignment w:val="auto"/>
              <w:outlineLvl w:val="9"/>
              <w:rPr>
                <w:rFonts w:hint="default" w:ascii="Times New Roman" w:hAnsi="Times New Roman" w:cs="Times New Roman"/>
                <w:color w:val="auto"/>
                <w:spacing w:val="0"/>
                <w:w w:val="100"/>
                <w:u w:val="none"/>
              </w:rPr>
            </w:pPr>
            <w:r>
              <w:rPr>
                <w:rFonts w:hint="default" w:ascii="Times New Roman" w:hAnsi="Times New Roman" w:eastAsia="方正仿宋_GBK" w:cs="Times New Roman"/>
                <w:color w:val="auto"/>
                <w:spacing w:val="0"/>
                <w:w w:val="100"/>
                <w:sz w:val="28"/>
                <w:szCs w:val="28"/>
                <w:u w:val="none"/>
              </w:rPr>
              <w:t>湖南省科学技术厅办公室</w:t>
            </w:r>
            <w:r>
              <w:rPr>
                <w:rFonts w:hint="default" w:ascii="Times New Roman" w:hAnsi="Times New Roman" w:eastAsia="仿宋_GB2312" w:cs="Times New Roman"/>
                <w:color w:val="auto"/>
                <w:spacing w:val="0"/>
                <w:w w:val="100"/>
                <w:sz w:val="28"/>
                <w:szCs w:val="28"/>
                <w:u w:val="none"/>
              </w:rPr>
              <w:t xml:space="preserve">        </w:t>
            </w:r>
            <w:r>
              <w:rPr>
                <w:rFonts w:hint="default" w:ascii="Times New Roman" w:hAnsi="Times New Roman" w:eastAsia="仿宋_GB2312" w:cs="Times New Roman"/>
                <w:color w:val="auto"/>
                <w:spacing w:val="0"/>
                <w:w w:val="100"/>
                <w:sz w:val="28"/>
                <w:szCs w:val="28"/>
                <w:u w:val="none"/>
                <w:lang w:val="en-US" w:eastAsia="zh-CN"/>
              </w:rPr>
              <w:t xml:space="preserve">  </w:t>
            </w:r>
            <w:r>
              <w:rPr>
                <w:rFonts w:hint="default" w:ascii="Times New Roman" w:hAnsi="Times New Roman" w:eastAsia="仿宋_GB2312" w:cs="Times New Roman"/>
                <w:color w:val="auto"/>
                <w:spacing w:val="0"/>
                <w:w w:val="100"/>
                <w:sz w:val="28"/>
                <w:szCs w:val="28"/>
                <w:u w:val="none"/>
              </w:rPr>
              <w:t xml:space="preserve"> </w:t>
            </w:r>
            <w:r>
              <w:rPr>
                <w:rFonts w:hint="eastAsia" w:ascii="Times New Roman" w:hAnsi="Times New Roman" w:eastAsia="仿宋_GB2312" w:cs="Times New Roman"/>
                <w:color w:val="auto"/>
                <w:spacing w:val="0"/>
                <w:w w:val="100"/>
                <w:sz w:val="28"/>
                <w:szCs w:val="28"/>
                <w:u w:val="none"/>
                <w:lang w:val="en-US" w:eastAsia="zh-CN"/>
              </w:rPr>
              <w:t xml:space="preserve"> </w:t>
            </w:r>
            <w:r>
              <w:rPr>
                <w:rFonts w:hint="default" w:ascii="Times New Roman" w:hAnsi="Times New Roman" w:eastAsia="仿宋_GB2312" w:cs="Times New Roman"/>
                <w:color w:val="auto"/>
                <w:spacing w:val="0"/>
                <w:w w:val="100"/>
                <w:sz w:val="28"/>
                <w:szCs w:val="28"/>
                <w:u w:val="none"/>
                <w:lang w:val="en-US" w:eastAsia="zh-CN"/>
              </w:rPr>
              <w:t xml:space="preserve">  </w:t>
            </w:r>
            <w:r>
              <w:rPr>
                <w:rFonts w:hint="default" w:ascii="Times New Roman" w:hAnsi="Times New Roman" w:eastAsia="仿宋_GB2312" w:cs="Times New Roman"/>
                <w:color w:val="auto"/>
                <w:spacing w:val="0"/>
                <w:w w:val="100"/>
                <w:sz w:val="28"/>
                <w:szCs w:val="28"/>
                <w:u w:val="none"/>
              </w:rPr>
              <w:t xml:space="preserve"> </w:t>
            </w:r>
            <w:r>
              <w:rPr>
                <w:rFonts w:hint="default" w:ascii="Times New Roman" w:hAnsi="Times New Roman" w:eastAsia="仿宋_GB2312" w:cs="Times New Roman"/>
                <w:color w:val="auto"/>
                <w:spacing w:val="0"/>
                <w:w w:val="100"/>
                <w:sz w:val="28"/>
                <w:szCs w:val="28"/>
                <w:u w:val="none"/>
                <w:lang w:val="en-US" w:eastAsia="zh-CN"/>
              </w:rPr>
              <w:t xml:space="preserve"> </w:t>
            </w:r>
            <w:r>
              <w:rPr>
                <w:rFonts w:hint="default" w:ascii="Times New Roman" w:hAnsi="Times New Roman" w:eastAsia="仿宋_GB2312" w:cs="Times New Roman"/>
                <w:color w:val="auto"/>
                <w:spacing w:val="0"/>
                <w:w w:val="100"/>
                <w:sz w:val="28"/>
                <w:szCs w:val="28"/>
                <w:u w:val="none"/>
              </w:rPr>
              <w:t xml:space="preserve"> </w:t>
            </w:r>
            <w:r>
              <w:rPr>
                <w:rFonts w:hint="eastAsia" w:ascii="Times New Roman" w:hAnsi="Times New Roman" w:eastAsia="仿宋_GB2312" w:cs="Times New Roman"/>
                <w:color w:val="auto"/>
                <w:spacing w:val="0"/>
                <w:w w:val="100"/>
                <w:sz w:val="28"/>
                <w:szCs w:val="28"/>
                <w:u w:val="none"/>
                <w:lang w:val="en-US" w:eastAsia="zh-CN"/>
              </w:rPr>
              <w:t xml:space="preserve"> </w:t>
            </w:r>
            <w:r>
              <w:rPr>
                <w:rFonts w:hint="default" w:ascii="Times New Roman" w:hAnsi="Times New Roman" w:eastAsia="仿宋_GB2312" w:cs="Times New Roman"/>
                <w:color w:val="auto"/>
                <w:spacing w:val="0"/>
                <w:w w:val="100"/>
                <w:sz w:val="28"/>
                <w:szCs w:val="28"/>
                <w:u w:val="none"/>
              </w:rPr>
              <w:t>202</w:t>
            </w:r>
            <w:r>
              <w:rPr>
                <w:rFonts w:hint="eastAsia" w:ascii="Times New Roman" w:hAnsi="Times New Roman" w:eastAsia="仿宋_GB2312" w:cs="Times New Roman"/>
                <w:color w:val="auto"/>
                <w:spacing w:val="0"/>
                <w:w w:val="100"/>
                <w:sz w:val="28"/>
                <w:szCs w:val="28"/>
                <w:u w:val="none"/>
                <w:lang w:val="en-US" w:eastAsia="zh-CN"/>
              </w:rPr>
              <w:t>5</w:t>
            </w:r>
            <w:r>
              <w:rPr>
                <w:rFonts w:hint="default" w:ascii="Times New Roman" w:hAnsi="Times New Roman" w:eastAsia="方正仿宋_GBK" w:cs="Times New Roman"/>
                <w:color w:val="auto"/>
                <w:spacing w:val="0"/>
                <w:w w:val="100"/>
                <w:sz w:val="28"/>
                <w:szCs w:val="28"/>
                <w:u w:val="none"/>
              </w:rPr>
              <w:t>年</w:t>
            </w:r>
            <w:r>
              <w:rPr>
                <w:rFonts w:hint="eastAsia" w:ascii="Times New Roman" w:hAnsi="Times New Roman" w:cs="Times New Roman"/>
                <w:color w:val="auto"/>
                <w:spacing w:val="0"/>
                <w:w w:val="100"/>
                <w:sz w:val="28"/>
                <w:szCs w:val="28"/>
                <w:u w:val="none"/>
                <w:lang w:val="en-US" w:eastAsia="zh-CN"/>
              </w:rPr>
              <w:t>4</w:t>
            </w:r>
            <w:r>
              <w:rPr>
                <w:rFonts w:hint="default" w:ascii="Times New Roman" w:hAnsi="Times New Roman" w:eastAsia="方正仿宋_GBK" w:cs="Times New Roman"/>
                <w:color w:val="auto"/>
                <w:spacing w:val="0"/>
                <w:w w:val="100"/>
                <w:sz w:val="28"/>
                <w:szCs w:val="28"/>
                <w:u w:val="none"/>
              </w:rPr>
              <w:t>月</w:t>
            </w:r>
            <w:r>
              <w:rPr>
                <w:rFonts w:hint="eastAsia" w:ascii="Times New Roman" w:hAnsi="Times New Roman" w:eastAsia="方正仿宋_GBK" w:cs="Times New Roman"/>
                <w:color w:val="auto"/>
                <w:spacing w:val="0"/>
                <w:w w:val="100"/>
                <w:sz w:val="28"/>
                <w:szCs w:val="28"/>
                <w:u w:val="none"/>
                <w:lang w:val="en-US" w:eastAsia="zh-CN"/>
              </w:rPr>
              <w:t>17</w:t>
            </w:r>
            <w:r>
              <w:rPr>
                <w:rFonts w:hint="default" w:ascii="Times New Roman" w:hAnsi="Times New Roman" w:eastAsia="方正仿宋_GBK" w:cs="Times New Roman"/>
                <w:color w:val="auto"/>
                <w:spacing w:val="0"/>
                <w:w w:val="100"/>
                <w:sz w:val="28"/>
                <w:szCs w:val="28"/>
                <w:u w:val="none"/>
              </w:rPr>
              <w:t>日印</w:t>
            </w:r>
            <w:r>
              <w:rPr>
                <w:rFonts w:hint="eastAsia" w:ascii="Times New Roman" w:hAnsi="Times New Roman" w:eastAsia="方正仿宋_GBK" w:cs="Times New Roman"/>
                <w:color w:val="auto"/>
                <w:spacing w:val="0"/>
                <w:w w:val="100"/>
                <w:sz w:val="28"/>
                <w:szCs w:val="28"/>
                <w:u w:val="none"/>
                <w:lang w:eastAsia="zh-CN"/>
              </w:rPr>
              <w:t>发</w:t>
            </w:r>
          </w:p>
        </w:tc>
      </w:tr>
    </w:tbl>
    <w:p>
      <w:pPr>
        <w:pStyle w:val="9"/>
        <w:ind w:left="0" w:leftChars="0" w:firstLine="0" w:firstLineChars="0"/>
        <w:rPr>
          <w:rFonts w:hint="default" w:ascii="Times New Roman" w:hAnsi="Times New Roman"/>
          <w:lang w:val="en-US" w:eastAsia="zh-CN"/>
        </w:rPr>
        <w:sectPr>
          <w:footerReference r:id="rId3" w:type="default"/>
          <w:pgSz w:w="11906" w:h="16838"/>
          <w:pgMar w:top="1984" w:right="1559" w:bottom="1531" w:left="1559" w:header="992" w:footer="1276" w:gutter="0"/>
          <w:pgNumType w:fmt="decimal" w:start="1"/>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黑体" w:cs="黑体"/>
          <w:lang w:val="en-US" w:eastAsia="zh-CN"/>
        </w:rPr>
      </w:pPr>
      <w:r>
        <w:rPr>
          <w:rFonts w:hint="eastAsia" w:ascii="Times New Roman" w:hAnsi="Times New Roman" w:eastAsia="黑体" w:cs="黑体"/>
          <w:b w:val="0"/>
          <w:bCs/>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before="161" w:beforeLines="50" w:after="320" w:afterLines="100" w:line="600" w:lineRule="exact"/>
        <w:ind w:left="0" w:leftChars="0" w:right="0" w:rightChars="0" w:firstLine="0" w:firstLineChars="0"/>
        <w:jc w:val="center"/>
        <w:textAlignment w:val="auto"/>
        <w:outlineLvl w:val="9"/>
        <w:rPr>
          <w:rFonts w:hint="default" w:ascii="Times New Roman" w:hAnsi="Times New Roman" w:eastAsia="方正小标宋简体" w:cs="方正小标宋简体"/>
          <w:b w:val="0"/>
          <w:bCs w:val="0"/>
          <w:sz w:val="44"/>
          <w:szCs w:val="44"/>
          <w:lang w:val="en-US" w:eastAsia="zh-CN"/>
        </w:rPr>
      </w:pPr>
      <w:r>
        <w:rPr>
          <w:rFonts w:hint="default" w:ascii="Times New Roman" w:hAnsi="Times New Roman" w:eastAsia="方正小标宋简体" w:cs="方正小标宋简体"/>
          <w:b w:val="0"/>
          <w:bCs w:val="0"/>
          <w:sz w:val="44"/>
          <w:szCs w:val="44"/>
          <w:lang w:val="en-US" w:eastAsia="zh-CN"/>
        </w:rPr>
        <w:t>湖南省实验动物管理行政处罚裁量权基准</w:t>
      </w:r>
    </w:p>
    <w:tbl>
      <w:tblPr>
        <w:tblStyle w:val="15"/>
        <w:tblW w:w="143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19"/>
        <w:gridCol w:w="1745"/>
        <w:gridCol w:w="3167"/>
        <w:gridCol w:w="2490"/>
        <w:gridCol w:w="809"/>
        <w:gridCol w:w="2234"/>
        <w:gridCol w:w="156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3" w:hRule="atLeast"/>
          <w:tblHeader/>
          <w:jc w:val="center"/>
        </w:trPr>
        <w:tc>
          <w:tcPr>
            <w:tcW w:w="81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sz w:val="28"/>
                <w:szCs w:val="28"/>
                <w:u w:val="none"/>
              </w:rPr>
            </w:pPr>
            <w:r>
              <w:rPr>
                <w:rFonts w:hint="eastAsia" w:ascii="Times New Roman" w:hAnsi="Times New Roman" w:eastAsia="黑体" w:cs="黑体"/>
                <w:b w:val="0"/>
                <w:bCs/>
                <w:i w:val="0"/>
                <w:color w:val="000000"/>
                <w:kern w:val="0"/>
                <w:sz w:val="28"/>
                <w:szCs w:val="28"/>
                <w:u w:val="none"/>
                <w:lang w:val="en-US" w:eastAsia="zh-CN" w:bidi="ar"/>
              </w:rPr>
              <w:t>序号</w:t>
            </w:r>
          </w:p>
        </w:tc>
        <w:tc>
          <w:tcPr>
            <w:tcW w:w="1745"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sz w:val="28"/>
                <w:szCs w:val="28"/>
                <w:u w:val="none"/>
              </w:rPr>
            </w:pPr>
            <w:r>
              <w:rPr>
                <w:rFonts w:hint="eastAsia" w:ascii="Times New Roman" w:hAnsi="Times New Roman" w:eastAsia="黑体" w:cs="黑体"/>
                <w:b w:val="0"/>
                <w:bCs/>
                <w:i w:val="0"/>
                <w:color w:val="000000"/>
                <w:kern w:val="0"/>
                <w:sz w:val="28"/>
                <w:szCs w:val="28"/>
                <w:u w:val="none"/>
                <w:lang w:val="en-US" w:eastAsia="zh-CN" w:bidi="ar"/>
              </w:rPr>
              <w:t>违法行为</w:t>
            </w:r>
          </w:p>
        </w:tc>
        <w:tc>
          <w:tcPr>
            <w:tcW w:w="3167"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sz w:val="28"/>
                <w:szCs w:val="28"/>
                <w:u w:val="none"/>
              </w:rPr>
            </w:pPr>
            <w:r>
              <w:rPr>
                <w:rFonts w:hint="eastAsia" w:ascii="Times New Roman" w:hAnsi="Times New Roman" w:eastAsia="黑体" w:cs="黑体"/>
                <w:b w:val="0"/>
                <w:bCs/>
                <w:i w:val="0"/>
                <w:color w:val="000000"/>
                <w:kern w:val="0"/>
                <w:sz w:val="28"/>
                <w:szCs w:val="28"/>
                <w:u w:val="none"/>
                <w:lang w:val="en-US" w:eastAsia="zh-CN" w:bidi="ar"/>
              </w:rPr>
              <w:t>违法依据</w:t>
            </w:r>
          </w:p>
        </w:tc>
        <w:tc>
          <w:tcPr>
            <w:tcW w:w="249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sz w:val="28"/>
                <w:szCs w:val="28"/>
                <w:u w:val="none"/>
              </w:rPr>
            </w:pPr>
            <w:r>
              <w:rPr>
                <w:rFonts w:hint="eastAsia" w:ascii="Times New Roman" w:hAnsi="Times New Roman" w:eastAsia="黑体" w:cs="黑体"/>
                <w:b w:val="0"/>
                <w:bCs/>
                <w:i w:val="0"/>
                <w:color w:val="000000"/>
                <w:kern w:val="0"/>
                <w:sz w:val="28"/>
                <w:szCs w:val="28"/>
                <w:u w:val="none"/>
                <w:lang w:val="en-US" w:eastAsia="zh-CN" w:bidi="ar"/>
              </w:rPr>
              <w:t>处罚依据</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sz w:val="28"/>
                <w:szCs w:val="28"/>
                <w:u w:val="none"/>
              </w:rPr>
            </w:pPr>
            <w:r>
              <w:rPr>
                <w:rFonts w:hint="eastAsia" w:ascii="Times New Roman" w:hAnsi="Times New Roman" w:eastAsia="黑体" w:cs="黑体"/>
                <w:b w:val="0"/>
                <w:bCs/>
                <w:i w:val="0"/>
                <w:color w:val="000000"/>
                <w:kern w:val="0"/>
                <w:sz w:val="28"/>
                <w:szCs w:val="28"/>
                <w:u w:val="none"/>
                <w:lang w:val="en-US" w:eastAsia="zh-CN" w:bidi="ar"/>
              </w:rPr>
              <w:t>裁量阶次</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sz w:val="28"/>
                <w:szCs w:val="28"/>
                <w:u w:val="none"/>
              </w:rPr>
            </w:pPr>
            <w:r>
              <w:rPr>
                <w:rFonts w:hint="eastAsia" w:ascii="Times New Roman" w:hAnsi="Times New Roman" w:eastAsia="黑体" w:cs="黑体"/>
                <w:b w:val="0"/>
                <w:bCs/>
                <w:i w:val="0"/>
                <w:color w:val="000000"/>
                <w:kern w:val="0"/>
                <w:sz w:val="28"/>
                <w:szCs w:val="28"/>
                <w:u w:val="none"/>
                <w:lang w:val="en-US" w:eastAsia="zh-CN" w:bidi="ar"/>
              </w:rPr>
              <w:t>适用条件</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sz w:val="28"/>
                <w:szCs w:val="28"/>
                <w:u w:val="none"/>
              </w:rPr>
            </w:pPr>
            <w:r>
              <w:rPr>
                <w:rFonts w:hint="eastAsia" w:ascii="Times New Roman" w:hAnsi="Times New Roman" w:eastAsia="黑体" w:cs="黑体"/>
                <w:b w:val="0"/>
                <w:bCs/>
                <w:i w:val="0"/>
                <w:color w:val="000000"/>
                <w:kern w:val="0"/>
                <w:sz w:val="28"/>
                <w:szCs w:val="28"/>
                <w:u w:val="none"/>
                <w:lang w:val="en-US" w:eastAsia="zh-CN" w:bidi="ar"/>
              </w:rPr>
              <w:t>处罚标准</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kern w:val="0"/>
                <w:sz w:val="28"/>
                <w:szCs w:val="28"/>
                <w:u w:val="none"/>
                <w:lang w:val="en-US" w:eastAsia="zh-CN" w:bidi="ar"/>
              </w:rPr>
            </w:pPr>
            <w:r>
              <w:rPr>
                <w:rFonts w:hint="eastAsia" w:ascii="Times New Roman" w:hAnsi="Times New Roman" w:eastAsia="黑体" w:cs="黑体"/>
                <w:b w:val="0"/>
                <w:bCs/>
                <w:i w:val="0"/>
                <w:color w:val="000000"/>
                <w:kern w:val="0"/>
                <w:sz w:val="28"/>
                <w:szCs w:val="28"/>
                <w:u w:val="none"/>
                <w:lang w:val="en-US" w:eastAsia="zh-CN" w:bidi="ar"/>
              </w:rPr>
              <w:t>行政处理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6"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从事实验动物工作的单位没有按照国家有关规定建立伦理审查、风险评估、违规处理等制度的。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《湖南省实验动物管理条例》第四条第二款 从事实验动物工作的单位，应当按照国家有关规定，建立伦理审查、风险评估、违规处理等制度，对涉及实验动物的活动开展独立、公正、科学的伦理审查和监督。</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超过限定期限十五日以内未改正的。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4"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spacing w:val="-11"/>
                <w:kern w:val="0"/>
                <w:sz w:val="28"/>
                <w:szCs w:val="28"/>
                <w:u w:val="none"/>
                <w:lang w:val="en-US" w:eastAsia="zh-CN" w:bidi="ar"/>
              </w:rPr>
              <w:t>暂扣实验动物许可证。</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5"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2</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从事实验动物工作的单位没有对涉及实验动物的活动开展独立、公正、科学的伦理审查和监督的。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《湖南省实验动物管理条例》第四条第二款 从事实验动物工作的单位，应当按照国家有关规定，建立伦理审查、风险评估、违规处理等制度，对涉及实验动物的活动开展独立、公正、科学的伦理审查和监督。</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超过限定期限十五日以内未改正的。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7"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1.超过限定期限</w:t>
            </w:r>
            <w:r>
              <w:rPr>
                <w:rFonts w:hint="eastAsia" w:ascii="Times New Roman" w:hAnsi="Times New Roman" w:eastAsia="仿宋_GB2312" w:cs="仿宋_GB2312"/>
                <w:i w:val="0"/>
                <w:color w:val="000000"/>
                <w:spacing w:val="-11"/>
                <w:kern w:val="0"/>
                <w:sz w:val="28"/>
                <w:szCs w:val="28"/>
                <w:u w:val="none"/>
                <w:lang w:val="en-US" w:eastAsia="zh-CN" w:bidi="ar"/>
              </w:rPr>
              <w:t>十五日未改正的；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2.违法行为造成生物安全事故等</w:t>
            </w:r>
            <w:r>
              <w:rPr>
                <w:rFonts w:hint="eastAsia" w:ascii="Times New Roman" w:hAnsi="Times New Roman" w:eastAsia="仿宋_GB2312" w:cs="仿宋_GB2312"/>
                <w:i w:val="0"/>
                <w:color w:val="000000"/>
                <w:spacing w:val="-11"/>
                <w:kern w:val="0"/>
                <w:sz w:val="28"/>
                <w:szCs w:val="28"/>
                <w:u w:val="none"/>
                <w:lang w:val="en-US" w:eastAsia="zh-CN" w:bidi="ar"/>
              </w:rPr>
              <w:t>严重危害后果的。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有以上情形之一的，暂扣实验</w:t>
            </w:r>
            <w:r>
              <w:rPr>
                <w:rFonts w:hint="eastAsia" w:ascii="Times New Roman" w:hAnsi="Times New Roman" w:eastAsia="仿宋_GB2312" w:cs="仿宋_GB2312"/>
                <w:i w:val="0"/>
                <w:color w:val="000000"/>
                <w:spacing w:val="-23"/>
                <w:kern w:val="0"/>
                <w:sz w:val="28"/>
                <w:szCs w:val="28"/>
                <w:u w:val="none"/>
                <w:lang w:val="en-US" w:eastAsia="zh-CN" w:bidi="ar"/>
              </w:rPr>
              <w:t>动物许可证。</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8"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3</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从事实验动物工作的单位和个人没有利用信息技术等手段对实验动物进行全生命周期溯源管理的。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《湖南省实验动物管理条例》第十一条第一款 从事实验动物工作的单位和个人，应当保障生物安全，利用信息技术等手段对实验动物进行全生命周期溯源管理；建立实验动物安全管理制度，对实验动物进出实验动物环境设施进行登记，防止实验动物逃逸、无关动物进入实验动物环境设施。</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超过限定期限十五日以内未改正的。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5"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1.超过限定期限</w:t>
            </w:r>
            <w:r>
              <w:rPr>
                <w:rFonts w:hint="eastAsia" w:ascii="Times New Roman" w:hAnsi="Times New Roman" w:eastAsia="仿宋_GB2312" w:cs="仿宋_GB2312"/>
                <w:i w:val="0"/>
                <w:color w:val="000000"/>
                <w:spacing w:val="-11"/>
                <w:kern w:val="0"/>
                <w:sz w:val="28"/>
                <w:szCs w:val="28"/>
                <w:u w:val="none"/>
                <w:lang w:val="en-US" w:eastAsia="zh-CN" w:bidi="ar"/>
              </w:rPr>
              <w:t>十五日未改正的；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2.违法行为造成生物安全事故等</w:t>
            </w:r>
            <w:r>
              <w:rPr>
                <w:rFonts w:hint="eastAsia" w:ascii="Times New Roman" w:hAnsi="Times New Roman" w:eastAsia="仿宋_GB2312" w:cs="仿宋_GB2312"/>
                <w:i w:val="0"/>
                <w:color w:val="000000"/>
                <w:spacing w:val="-11"/>
                <w:kern w:val="0"/>
                <w:sz w:val="28"/>
                <w:szCs w:val="28"/>
                <w:u w:val="none"/>
                <w:lang w:val="en-US" w:eastAsia="zh-CN" w:bidi="ar"/>
              </w:rPr>
              <w:t>严重危害后果的。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有以上情形之一的，暂扣实验动物许可证。</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4</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从事实验动物工作的单位和个人没有建立实验动物安全管理制度的。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《湖南省实验动物管理条例》第十一条第一款 从事实验动物工作的单位和个人，应当保障生物安全，利用信息技术等手段对实验动物进行全生命周期溯源管理；建立实验动物安全管理制度，对实验动物进出实验动物环境设施进行登记，防止实验动物逃逸、无关动物进入实验动物环境设施。</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超过限定期限十五日以内未改正的。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3"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暂扣实验动物许可证。</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0"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5</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从事实验动物工作的单位和个人没有对实验动物进出实验动物环境设施进行登记，防止实验动物逃逸、无关动物进入实验动物环境设施的。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《湖南省实验动物管理条例》第十一条第一款 从事实验动物工作的单位和个人，应当保障生物安全，利用信息技术等手段对实验动物进行全生命周期溯源管理；建立实验动物安全管理制度，对实验动物进出实验动物环境设施进行登记，防止实验动物逃逸、无关动物进入实验动物环境设施。</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超过限定期限十五日以内未改正的。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0"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1.超过限定期限</w:t>
            </w:r>
            <w:r>
              <w:rPr>
                <w:rFonts w:hint="eastAsia" w:ascii="Times New Roman" w:hAnsi="Times New Roman" w:eastAsia="仿宋_GB2312" w:cs="仿宋_GB2312"/>
                <w:i w:val="0"/>
                <w:color w:val="000000"/>
                <w:spacing w:val="-11"/>
                <w:kern w:val="0"/>
                <w:sz w:val="28"/>
                <w:szCs w:val="28"/>
                <w:u w:val="none"/>
                <w:lang w:val="en-US" w:eastAsia="zh-CN" w:bidi="ar"/>
              </w:rPr>
              <w:t>十五日未改正的；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2.违法行为造成生物安全事故等</w:t>
            </w:r>
            <w:r>
              <w:rPr>
                <w:rFonts w:hint="eastAsia" w:ascii="Times New Roman" w:hAnsi="Times New Roman" w:eastAsia="仿宋_GB2312" w:cs="仿宋_GB2312"/>
                <w:i w:val="0"/>
                <w:color w:val="000000"/>
                <w:spacing w:val="-11"/>
                <w:kern w:val="0"/>
                <w:sz w:val="28"/>
                <w:szCs w:val="28"/>
                <w:u w:val="none"/>
                <w:lang w:val="en-US" w:eastAsia="zh-CN" w:bidi="ar"/>
              </w:rPr>
              <w:t>严重危害后果的。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有以上情形之一的，暂扣实验动物许可证。</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0"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6</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发现实验动物未经登记被带出生产、实验环境设施或者逃逸，没有及时采取有效措施进行处置的。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《湖南省实验动物管理条例》第十一条第二款 发现实验动物未经登记被带出生产、实验环境设施或者逃逸的，应当及时采取有效措施进行处置，并向所在地县级人民政府科学技术主管部门报告。</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超过限定期限十五日以内未改正的。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7"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1.超过限定期限</w:t>
            </w:r>
            <w:r>
              <w:rPr>
                <w:rFonts w:hint="eastAsia" w:ascii="Times New Roman" w:hAnsi="Times New Roman" w:eastAsia="仿宋_GB2312" w:cs="仿宋_GB2312"/>
                <w:i w:val="0"/>
                <w:color w:val="000000"/>
                <w:spacing w:val="-11"/>
                <w:kern w:val="0"/>
                <w:sz w:val="28"/>
                <w:szCs w:val="28"/>
                <w:u w:val="none"/>
                <w:lang w:val="en-US" w:eastAsia="zh-CN" w:bidi="ar"/>
              </w:rPr>
              <w:t>十五日未改正的；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2.违法行为造成生物安全事故等</w:t>
            </w:r>
            <w:r>
              <w:rPr>
                <w:rFonts w:hint="eastAsia" w:ascii="Times New Roman" w:hAnsi="Times New Roman" w:eastAsia="仿宋_GB2312" w:cs="仿宋_GB2312"/>
                <w:i w:val="0"/>
                <w:color w:val="000000"/>
                <w:spacing w:val="-11"/>
                <w:kern w:val="0"/>
                <w:sz w:val="28"/>
                <w:szCs w:val="28"/>
                <w:u w:val="none"/>
                <w:lang w:val="en-US" w:eastAsia="zh-CN" w:bidi="ar"/>
              </w:rPr>
              <w:t>严重危害后果的。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有以上情形之一的，暂扣实验</w:t>
            </w:r>
            <w:r>
              <w:rPr>
                <w:rFonts w:hint="eastAsia" w:ascii="Times New Roman" w:hAnsi="Times New Roman" w:eastAsia="仿宋_GB2312" w:cs="仿宋_GB2312"/>
                <w:i w:val="0"/>
                <w:color w:val="000000"/>
                <w:spacing w:val="-23"/>
                <w:kern w:val="0"/>
                <w:sz w:val="28"/>
                <w:szCs w:val="28"/>
                <w:u w:val="none"/>
                <w:lang w:val="en-US" w:eastAsia="zh-CN" w:bidi="ar"/>
              </w:rPr>
              <w:t>动物许可证。</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7</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未取得实验动物许可证或者许可证已过期，从事实验动物工作的。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《湖南省实验动物管理条例》第六条 从事实验动物工作的单位和个人，应当按照国家和省有关规定取得省人民政府科学技术主管部门颁发的实验动物许可证。实验动物许可证包括实验动物生产许可证和实验动物使用许可证。</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从事实验动物保种、繁育、供应以及实验动物相关产品生产、供应的单位和个人，应当取得实验动物生产许可证，并按照许可范围开展活动，提供相应的合格实验动物以及相关产品。</w:t>
            </w:r>
          </w:p>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利用实验动物从事科研、检定、检验等活动，以及以实验动物为原料或者载体进行相关产品生产、经营的单位和个人，应当取得实验动物使用许可证，并按照许可范围开展活动，使用相应的合格实验动物。任何单位和个人不得涂改、倒卖、出租、出借或者以其他形式非法转让实验动物许可证。</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《湖南省实验动物管理条例》第二十条 违反本条例第六条规定，未取得实验动物许可证或者许可证已过期，从事实验动物工作的，由县级以上人民政府科学技术主管部门责令停止违法行为，给予警告，没收违法所得，可以并处一万元以上五万元以下罚款；违法所得在一万元以上的，可以并处违法所得五倍以上十倍以下罚款。</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从轻处罚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实验动物许可证过期一个月以上三个月以下的。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给予警告，没收违法所得，可以并处一万元以上两万元以下罚款。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责令停止违法行为。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0"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实验动物许可证过期超过三个月不满六个月的。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给予警告，没收违法所得，可以并处两万元以上四万元以下罚款。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责令停止违法行为。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5"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1.实验动物许可证过期六个月以上的；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2.未取得实验动物许可证从事实验动物工作的；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3.违法行为被行政处罚后,两年内再次实施同类违法行为的；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4.违法行为造成生物安全事故等严重危害后果的。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有以上情形之一的，给予警告，没收违法所得，可以并处四万元以上五万元以下罚款。违法所得在一万元以上的，可以并处违法所得五倍以上十倍以下罚款。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责令停止违法行为。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6"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8</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超出实验动物许可证范围从事实验动物工作或者涂改、倒卖、出租、出借以及以其他形式非法转让实验动物许可证的。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《湖南省实验动物管理条例》第六条 从事实验动物工作的单位和个人，应当按照国家和省有关规定取得省人民政府科学技术主管部门颁发的实验动物许可证。实验动物许可证包括实验动物生产许可证和实验动物使用许可证。</w:t>
            </w:r>
          </w:p>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从事实验动物保种、繁育、供应以及实验动物相关产品生产、供应的单位和个人，应当取得实验动物生产许可证，并按照许可范围开展活动，提供相应的合格实验动物以及相关产品。</w:t>
            </w:r>
          </w:p>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利用实验动物从事科研、检定、检验等活动，以及以实验动物为原料或者载体进行相关产品生产、经营的单位和个人，应当取得实验动物使用许可证，并按照许可范围开展活动，使用相应的合格实验动物。任何单位和个人不得涂改、倒卖、出租、出借或者以其他形式非法转让实验动物许可证。</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《湖南省实验动物管理条例》第二十一条 违反本条例第六条规定，超出实验动物许可证范围从事实验动物工作或者涂改、倒卖、出租、出借以及以其他形式非法转让实验动物许可证的，由县级以上人民政府科学技术主管部门责令改正，给予警告，没收违法所得，可以并处一万元以上五万元以下罚款；违法所得在一万元以上的，可以并处违法所得五倍以上十倍以下罚款；情节严重的，由省人民政府科学技术主管部门吊销实验动物许可证。</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超出实验动物许可证范围从事实验动物工作或者涂改、倒卖、出租、出借以及以其他形式非法转让实验动物许可证，未造成生物安全事故等严重危害后果的。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给予警告，没收违法所得，可以并处一万元以上三万元以下罚款。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1.超范围从事实验动物工作或者涂改、倒卖、出租、出借以及以其他形式非法转让实验动物许可证，造成生物安全事故等严重危害后果的；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2.违法行为被行政处罚后，两年内再次实施同类违法行为的。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spacing w:val="-11"/>
                <w:kern w:val="0"/>
                <w:sz w:val="28"/>
                <w:szCs w:val="28"/>
                <w:u w:val="none"/>
                <w:lang w:val="en-US" w:eastAsia="zh-CN" w:bidi="ar"/>
              </w:rPr>
              <w:t>有以上情形之一的，吊销实验动物许可证，没收违法所得，可以并处三万元以上五万元以下罚款。违法所得在一万元以上的，可以并处违法所得五倍以上十倍以下罚款。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9</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将使用后的实验动物或者组织器官</w:t>
            </w:r>
            <w:r>
              <w:rPr>
                <w:rFonts w:hint="eastAsia" w:ascii="Times New Roman" w:hAnsi="Times New Roman" w:eastAsia="仿宋_GB2312" w:cs="仿宋_GB2312"/>
                <w:i w:val="0"/>
                <w:color w:val="000000"/>
                <w:spacing w:val="-11"/>
                <w:kern w:val="0"/>
                <w:sz w:val="28"/>
                <w:szCs w:val="28"/>
                <w:u w:val="none"/>
                <w:lang w:val="en-US" w:eastAsia="zh-CN" w:bidi="ar"/>
              </w:rPr>
              <w:t>流入市场的。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《湖南省实验动物管理条例》第十二条第三款 禁止将使用后的实验动</w:t>
            </w:r>
            <w:r>
              <w:rPr>
                <w:rFonts w:hint="eastAsia" w:ascii="Times New Roman" w:hAnsi="Times New Roman" w:eastAsia="仿宋_GB2312" w:cs="仿宋_GB2312"/>
                <w:i w:val="0"/>
                <w:color w:val="000000"/>
                <w:spacing w:val="-17"/>
                <w:kern w:val="0"/>
                <w:sz w:val="28"/>
                <w:szCs w:val="28"/>
                <w:u w:val="none"/>
                <w:lang w:val="en-US" w:eastAsia="zh-CN" w:bidi="ar"/>
              </w:rPr>
              <w:t>物及其组织器官流入市场。</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《湖南省实验动物管理条例》第二十二条 违反本条例第十二条第三款规定，将使用后的实验动物或者组织器官流入市场的，由县级以上人民政府科学技术主管部门责令改正，给予警告，没收违法所得，可以并处一万元以上五万元以下罚款；违法所得在一万元以上的，可以并处违法所得五倍以上十倍以下罚款；情节严重的，由省人民政府科学技术主管部门吊销实验动物许可证。</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从轻处罚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违法所得不满一万元的。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给予警告，没收违法所得，可以并处一万元以上五万元以下罚款。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违法所得在一万元以上十万元以下。</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给予警告，没收违法所得，可以并处违法所得五倍以上七倍以下罚款。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1.违法所得超过十万元；</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2.将使用后的实验动物或者组织器官流入市场，造成生物安全事故等严重危害后果的；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3.违法行为被行政处罚后，两年内再次实施同类违法行为的。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spacing w:val="-11"/>
                <w:kern w:val="0"/>
                <w:sz w:val="28"/>
                <w:szCs w:val="28"/>
                <w:u w:val="none"/>
                <w:lang w:val="en-US" w:eastAsia="zh-CN" w:bidi="ar"/>
              </w:rPr>
              <w:t>有以上情形之一的，吊销实验动物许可证，没收违法所得，可以并处违法所得七倍以上十倍以下罚款。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10</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病原微生物实验室使用后的实验动物或者组织器官流入市场的。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《中华人民共和国生物安全法》第四十七条 病原微生物实验室应当采取措施，加强对实验动物的管理，防止实验动物逃逸，对使用后的实验动物按照国家规定进行无害化处理，实现实验动物可追溯。禁止将使用后的实验动物流入市场。病原微生物实验室应当加强对实验活动废弃物的管理，依法对废水、废气以及其他废弃物进行处置，采取措施防止污染。</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《中华人民共和国生物安全法》第七十七条 违反本法规定，将使用后的实验动物流入市场的，由县级以上人民政府科学技术主管部门责令改正，没收违法所得，并处二十万元以上一百万元以下的罚款，违法所得在二十万元以上的，并处违法所得五倍以上十倍以下的罚款；情节严重的，由发证部门吊销相关许可证件。</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从轻处罚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违法所得不满二十万元的。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pacing w:val="-6"/>
                <w:sz w:val="28"/>
                <w:szCs w:val="28"/>
                <w:u w:val="none"/>
              </w:rPr>
            </w:pPr>
            <w:r>
              <w:rPr>
                <w:rFonts w:hint="eastAsia" w:ascii="Times New Roman" w:hAnsi="Times New Roman" w:eastAsia="仿宋_GB2312" w:cs="仿宋_GB2312"/>
                <w:i w:val="0"/>
                <w:color w:val="000000"/>
                <w:spacing w:val="-6"/>
                <w:kern w:val="0"/>
                <w:sz w:val="28"/>
                <w:szCs w:val="28"/>
                <w:u w:val="none"/>
                <w:lang w:val="en-US" w:eastAsia="zh-CN" w:bidi="ar"/>
              </w:rPr>
              <w:t>没收违法所得，并处二十万元以上一百万元以下罚款。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违法所得在二十万元以上五十万元以下。</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pacing w:val="-6"/>
                <w:sz w:val="28"/>
                <w:szCs w:val="28"/>
                <w:u w:val="none"/>
              </w:rPr>
            </w:pPr>
            <w:r>
              <w:rPr>
                <w:rFonts w:hint="eastAsia" w:ascii="Times New Roman" w:hAnsi="Times New Roman" w:eastAsia="仿宋_GB2312" w:cs="仿宋_GB2312"/>
                <w:i w:val="0"/>
                <w:color w:val="000000"/>
                <w:spacing w:val="-6"/>
                <w:kern w:val="0"/>
                <w:sz w:val="28"/>
                <w:szCs w:val="28"/>
                <w:u w:val="none"/>
                <w:lang w:val="en-US" w:eastAsia="zh-CN" w:bidi="ar"/>
              </w:rPr>
              <w:t>没收违法所得，并处违法所得五倍以上七倍以下的罚款。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36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1.违法所得超过五十万元；</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2.将病原微生物实验室使用后的实验动物或者组织器官流入市场，造成生物安全事故等严重危害后果的；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3.违法行为被行政处罚后，两年内再次实施同类违法行为的。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pacing w:val="-6"/>
                <w:sz w:val="28"/>
                <w:szCs w:val="28"/>
                <w:u w:val="none"/>
              </w:rPr>
            </w:pPr>
            <w:r>
              <w:rPr>
                <w:rFonts w:hint="eastAsia" w:ascii="Times New Roman" w:hAnsi="Times New Roman" w:eastAsia="仿宋_GB2312" w:cs="仿宋_GB2312"/>
                <w:i w:val="0"/>
                <w:color w:val="000000"/>
                <w:spacing w:val="-6"/>
                <w:kern w:val="0"/>
                <w:sz w:val="28"/>
                <w:szCs w:val="28"/>
                <w:u w:val="none"/>
                <w:lang w:val="en-US" w:eastAsia="zh-CN" w:bidi="ar"/>
              </w:rPr>
              <w:t>有以上情形之一的，吊销实验动物许可证，没收违法所得，并处违法所得七倍以上十倍以下的罚款（违法所得不足二十万元的，处一</w:t>
            </w:r>
            <w:r>
              <w:rPr>
                <w:rFonts w:hint="eastAsia" w:ascii="Times New Roman" w:hAnsi="Times New Roman" w:eastAsia="仿宋_GB2312" w:cs="仿宋_GB2312"/>
                <w:i w:val="0"/>
                <w:color w:val="000000"/>
                <w:spacing w:val="-23"/>
                <w:kern w:val="0"/>
                <w:sz w:val="28"/>
                <w:szCs w:val="28"/>
                <w:u w:val="none"/>
                <w:lang w:val="en-US" w:eastAsia="zh-CN" w:bidi="ar"/>
              </w:rPr>
              <w:t>百万元罚款）。</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11</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spacing w:val="-11"/>
                <w:kern w:val="0"/>
                <w:sz w:val="28"/>
                <w:szCs w:val="28"/>
                <w:u w:val="none"/>
                <w:lang w:val="en-US" w:eastAsia="zh-CN" w:bidi="ar"/>
              </w:rPr>
              <w:t>从事实验动物饲育工作的单位，未根据遗传学、微生物学、营养学或饲育环境方面的标准，定期对实验动物进行质量监测的。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《实验动物管理条例》第八条 从事实验动物饲育工作的单位，必须根据遗传学、微生物学、营养学和饲育环境方面的标准，定期对实验动物进行质量监测。各项作业过程和监测数据应有完整、准确的记录，并建立统计报告制度。</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《实验动物管理条例》第二十九条 对违反本条例规定的单位，由管理实验动物工作的部门视情节轻重，分别给予警告、限期改进、责令关闭的行政处罚。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实验动物生产许可证单位六个月以上十二个月以下未根据相关标准对实验动物进行质量监测的。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0"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2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1.实验动物生产许可证单位超过十二个月未根据相关标准对实验动物进行质量监测的；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2.违法行为被行政处罚后，两年内再次实施同类违法行为的。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有以上情形之一的，责令关闭。</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0"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12</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实验动物发生传染性疾病，未依法采取应急处置措施的。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《实验动物管理条例》第十八条 实验动物患病死亡的，应当及时查明原因，妥善处理，并记录在案。实验动物患有传染性疾病的，必须立即视情况分别予以销毁或者隔离治疗。对可能被传染的实验动物，进行紧急预防接种，对饲育室内外可能被污染的区域采取严格消毒措施，并报告上级实验动物管理部门和当地动物检疫、卫生防疫单位，采取紧急预防措施，防止疫病蔓延。</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《实验动物管理条例》第二十九条 对违反本条例规定的单位，由管理实验动物工作的部门视情节轻重，分别给予警告、限期改进、责令关闭的行政处罚。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实验动物发生传染性疾病，未依法采取应急处置措施，但未造成疫病蔓延、从业人员健康严重损</w:t>
            </w:r>
            <w:r>
              <w:rPr>
                <w:rFonts w:hint="eastAsia" w:ascii="Times New Roman" w:hAnsi="Times New Roman" w:eastAsia="仿宋_GB2312" w:cs="仿宋_GB2312"/>
                <w:i w:val="0"/>
                <w:color w:val="000000"/>
                <w:spacing w:val="-11"/>
                <w:kern w:val="0"/>
                <w:sz w:val="28"/>
                <w:szCs w:val="28"/>
                <w:u w:val="none"/>
                <w:lang w:val="en-US" w:eastAsia="zh-CN" w:bidi="ar"/>
              </w:rPr>
              <w:t>害等危害后果的。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5"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1.实验动物发生传染性疾病，未依法采取应急处置措施，造成疫病蔓延、从业人员健康严重损害等危害后果的；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2.违法行为被行政处罚后，两年内再次实施同类违法行为的。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有以上情形之一的，责令关闭。</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5" w:hRule="atLeast"/>
          <w:jc w:val="center"/>
        </w:trPr>
        <w:tc>
          <w:tcPr>
            <w:tcW w:w="819"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13</w:t>
            </w:r>
          </w:p>
        </w:tc>
        <w:tc>
          <w:tcPr>
            <w:tcW w:w="1745"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使用不安全、不可靠的装运工具运输实验动物，或将不同品种、品系或者不同等级的实验动物混合装运的。</w:t>
            </w:r>
          </w:p>
        </w:tc>
        <w:tc>
          <w:tcPr>
            <w:tcW w:w="3167"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《实验动物管理条例》第二十一条 实验动物的运输工作应当有专人负责。实验动物的装运工具应当安全、可靠。不得将不同品种、品系或者不同等级的实验动物混合装运。</w:t>
            </w:r>
          </w:p>
        </w:tc>
        <w:tc>
          <w:tcPr>
            <w:tcW w:w="2490" w:type="dxa"/>
            <w:vMerge w:val="restart"/>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《实验动物管理条例》第二十九条 对违反本条例规定的单位，由管理实验动物工作的部门视情节轻重，分别给予警告、限期改进、责令关闭的行政处罚。</w:t>
            </w: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一般处罚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1.使用不安全、不可靠的装运工</w:t>
            </w:r>
            <w:r>
              <w:rPr>
                <w:rFonts w:hint="eastAsia" w:ascii="Times New Roman" w:hAnsi="Times New Roman" w:eastAsia="仿宋_GB2312" w:cs="仿宋_GB2312"/>
                <w:i w:val="0"/>
                <w:color w:val="000000"/>
                <w:spacing w:val="-17"/>
                <w:kern w:val="0"/>
                <w:sz w:val="28"/>
                <w:szCs w:val="28"/>
                <w:u w:val="none"/>
                <w:lang w:val="en-US" w:eastAsia="zh-CN" w:bidi="ar"/>
              </w:rPr>
              <w:t>具运输实验动物；</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2.将不同品种、品系或者不同等级的实验动物混合装运。</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给予警告。</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5" w:hRule="atLeast"/>
          <w:jc w:val="center"/>
        </w:trPr>
        <w:tc>
          <w:tcPr>
            <w:tcW w:w="819"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eastAsia" w:ascii="Times New Roman" w:hAnsi="Times New Roman" w:eastAsia="仿宋_GB2312" w:cs="仿宋_GB2312"/>
                <w:i w:val="0"/>
                <w:color w:val="000000"/>
                <w:sz w:val="28"/>
                <w:szCs w:val="28"/>
                <w:u w:val="none"/>
              </w:rPr>
            </w:pPr>
          </w:p>
        </w:tc>
        <w:tc>
          <w:tcPr>
            <w:tcW w:w="1745"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3167"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2490" w:type="dxa"/>
            <w:vMerge w:val="continue"/>
            <w:shd w:val="clear" w:color="auto" w:fill="auto"/>
            <w:vAlign w:val="center"/>
          </w:tcPr>
          <w:p>
            <w:pPr>
              <w:keepNext w:val="0"/>
              <w:keepLines/>
              <w:pageBreakBefore w:val="0"/>
              <w:widowControl/>
              <w:kinsoku/>
              <w:wordWrap/>
              <w:overflowPunct/>
              <w:topLinePunct w:val="0"/>
              <w:autoSpaceDE/>
              <w:autoSpaceDN/>
              <w:bidi w:val="0"/>
              <w:adjustRightInd/>
              <w:snapToGrid/>
              <w:spacing w:line="440" w:lineRule="exact"/>
              <w:ind w:left="0" w:leftChars="0" w:right="0" w:rightChars="0" w:firstLine="0" w:firstLineChars="0"/>
              <w:jc w:val="left"/>
              <w:outlineLvl w:val="9"/>
              <w:rPr>
                <w:rFonts w:hint="eastAsia" w:ascii="Times New Roman" w:hAnsi="Times New Roman" w:eastAsia="仿宋_GB2312" w:cs="仿宋_GB2312"/>
                <w:i w:val="0"/>
                <w:color w:val="000000"/>
                <w:sz w:val="28"/>
                <w:szCs w:val="28"/>
                <w:u w:val="none"/>
              </w:rPr>
            </w:pPr>
          </w:p>
        </w:tc>
        <w:tc>
          <w:tcPr>
            <w:tcW w:w="80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从重处罚</w:t>
            </w:r>
          </w:p>
        </w:tc>
        <w:tc>
          <w:tcPr>
            <w:tcW w:w="2234"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1.使用不安全、不可靠的装运工具运输实验动物，或将不同品种、品系或者不同等级的实验动物混合装运，造成实验动物逃逸并导致发生生物安全事故等危害后果的；</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2.违法行为被行政处罚后，两年内再次实施同类违法行为的。</w:t>
            </w:r>
          </w:p>
        </w:tc>
        <w:tc>
          <w:tcPr>
            <w:tcW w:w="15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有以上情形之一的，责令关闭。</w:t>
            </w:r>
          </w:p>
        </w:tc>
        <w:tc>
          <w:tcPr>
            <w:tcW w:w="150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kern w:val="0"/>
                <w:sz w:val="28"/>
                <w:szCs w:val="28"/>
                <w:u w:val="none"/>
                <w:lang w:val="en-US" w:eastAsia="zh-CN" w:bidi="ar"/>
              </w:rPr>
            </w:pPr>
            <w:r>
              <w:rPr>
                <w:rFonts w:hint="eastAsia" w:ascii="Times New Roman" w:hAnsi="Times New Roman" w:eastAsia="仿宋_GB2312" w:cs="仿宋_GB2312"/>
                <w:i w:val="0"/>
                <w:color w:val="000000"/>
                <w:kern w:val="0"/>
                <w:sz w:val="28"/>
                <w:szCs w:val="28"/>
                <w:u w:val="none"/>
                <w:lang w:val="en-US" w:eastAsia="zh-CN" w:bidi="ar"/>
              </w:rPr>
              <w:t>责令改正。</w:t>
            </w:r>
          </w:p>
        </w:tc>
      </w:tr>
    </w:tbl>
    <w:p>
      <w:pPr>
        <w:keepNext w:val="0"/>
        <w:keepLines w:val="0"/>
        <w:pageBreakBefore w:val="0"/>
        <w:widowControl w:val="0"/>
        <w:kinsoku/>
        <w:wordWrap/>
        <w:overflowPunct/>
        <w:topLinePunct w:val="0"/>
        <w:autoSpaceDE/>
        <w:autoSpaceDN/>
        <w:bidi w:val="0"/>
        <w:adjustRightInd/>
        <w:snapToGrid/>
        <w:spacing w:before="161" w:beforeLines="50" w:line="480" w:lineRule="exact"/>
        <w:ind w:left="0" w:leftChars="0" w:right="0" w:rightChars="0" w:firstLine="0" w:firstLineChars="0"/>
        <w:jc w:val="both"/>
        <w:textAlignment w:val="auto"/>
        <w:outlineLvl w:val="9"/>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 w:eastAsia="zh-CN"/>
        </w:rPr>
        <w:t>注：1.本裁量权基准以外的违法行为，《中华人民共和国生物安全法》《中华人民共和国科学技术进步法》和其他法律、法规已经规定法律责任的，从其规定。2.本裁量权基准以外符合减轻或从轻处罚、从重或加重处罚等法定条件的，按照相关法律、法规、规章等执行。3.违法行为人既有从轻或者减轻行政处罚情形，又有从重或加重处罚情形的，应当结合案件具体情况综合考量作出裁量决定。</w:t>
      </w:r>
      <w:r>
        <w:rPr>
          <w:rFonts w:hint="eastAsia" w:ascii="Times New Roman" w:hAnsi="Times New Roman" w:eastAsia="仿宋_GB2312" w:cs="仿宋_GB2312"/>
          <w:sz w:val="28"/>
          <w:szCs w:val="28"/>
          <w:lang w:val="en-US" w:eastAsia="zh-CN"/>
        </w:rPr>
        <w:t>4.</w:t>
      </w:r>
      <w:r>
        <w:rPr>
          <w:rFonts w:hint="eastAsia" w:ascii="Times New Roman" w:hAnsi="Times New Roman" w:eastAsia="仿宋_GB2312" w:cs="仿宋_GB2312"/>
          <w:sz w:val="28"/>
          <w:szCs w:val="28"/>
          <w:lang w:val="en" w:eastAsia="zh-CN"/>
        </w:rPr>
        <w:t>本裁量权基准中以上、以下、以内包括本数，不满、超过不包括本数。</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both"/>
        <w:textAlignment w:val="auto"/>
        <w:outlineLvl w:val="9"/>
        <w:rPr>
          <w:rFonts w:hint="eastAsia" w:ascii="Times New Roman" w:hAnsi="Times New Roman"/>
          <w:lang w:val="en" w:eastAsia="zh-CN"/>
        </w:rPr>
      </w:pPr>
      <w:r>
        <w:rPr>
          <w:rFonts w:hint="eastAsia" w:ascii="Times New Roman" w:hAnsi="Times New Roman"/>
          <w:lang w:val="en" w:eastAsia="zh-CN"/>
        </w:rPr>
        <w:br w:type="page"/>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黑体" w:cs="黑体"/>
          <w:lang w:val="en" w:eastAsia="zh-CN"/>
        </w:rPr>
      </w:pPr>
      <w:r>
        <w:rPr>
          <w:rFonts w:hint="eastAsia" w:ascii="Times New Roman" w:hAnsi="Times New Roman" w:eastAsia="黑体" w:cs="黑体"/>
          <w:b w:val="0"/>
          <w:bCs/>
          <w:sz w:val="32"/>
          <w:szCs w:val="32"/>
          <w:lang w:val="en-US" w:eastAsia="zh-CN"/>
        </w:rPr>
        <w:t>附件</w:t>
      </w:r>
      <w:r>
        <w:rPr>
          <w:rFonts w:hint="eastAsia" w:ascii="Times New Roman" w:hAnsi="Times New Roman" w:eastAsia="黑体" w:cs="黑体"/>
          <w:b w:val="0"/>
          <w:bCs/>
          <w:sz w:val="32"/>
          <w:szCs w:val="32"/>
          <w:lang w:val="en" w:eastAsia="zh-CN"/>
        </w:rPr>
        <w:t>2</w:t>
      </w:r>
    </w:p>
    <w:p>
      <w:pPr>
        <w:keepNext w:val="0"/>
        <w:keepLines w:val="0"/>
        <w:pageBreakBefore w:val="0"/>
        <w:widowControl w:val="0"/>
        <w:kinsoku/>
        <w:wordWrap/>
        <w:overflowPunct/>
        <w:topLinePunct w:val="0"/>
        <w:autoSpaceDE/>
        <w:autoSpaceDN/>
        <w:bidi w:val="0"/>
        <w:adjustRightInd/>
        <w:snapToGrid/>
        <w:spacing w:before="161" w:beforeLines="50" w:after="320" w:afterLines="100" w:line="600" w:lineRule="exact"/>
        <w:ind w:left="0" w:leftChars="0" w:right="0" w:rightChars="0" w:firstLine="0" w:firstLineChars="0"/>
        <w:jc w:val="center"/>
        <w:textAlignment w:val="auto"/>
        <w:outlineLvl w:val="9"/>
        <w:rPr>
          <w:rFonts w:hint="eastAsia" w:ascii="Times New Roman" w:hAnsi="Times New Roman" w:eastAsia="方正小标宋简体" w:cs="方正小标宋简体"/>
          <w:b w:val="0"/>
          <w:bCs w:val="0"/>
          <w:sz w:val="44"/>
          <w:szCs w:val="44"/>
          <w:lang w:val="en" w:eastAsia="zh-CN"/>
        </w:rPr>
      </w:pPr>
      <w:r>
        <w:rPr>
          <w:rFonts w:hint="eastAsia" w:ascii="Times New Roman" w:hAnsi="Times New Roman" w:eastAsia="方正小标宋简体" w:cs="方正小标宋简体"/>
          <w:b w:val="0"/>
          <w:bCs w:val="0"/>
          <w:sz w:val="44"/>
          <w:szCs w:val="44"/>
          <w:lang w:val="en" w:eastAsia="zh-CN"/>
        </w:rPr>
        <w:t>湖南省实验动物管理免予行政处罚事项清单</w:t>
      </w:r>
    </w:p>
    <w:tbl>
      <w:tblPr>
        <w:tblStyle w:val="15"/>
        <w:tblW w:w="14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95"/>
        <w:gridCol w:w="2433"/>
        <w:gridCol w:w="3549"/>
        <w:gridCol w:w="3851"/>
        <w:gridCol w:w="2531"/>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5" w:hRule="atLeast"/>
          <w:tblHeader/>
          <w:jc w:val="center"/>
        </w:trPr>
        <w:tc>
          <w:tcPr>
            <w:tcW w:w="895"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kern w:val="0"/>
                <w:sz w:val="28"/>
                <w:szCs w:val="28"/>
                <w:u w:val="none"/>
                <w:lang w:val="en-US" w:eastAsia="zh-CN" w:bidi="ar"/>
              </w:rPr>
            </w:pPr>
            <w:r>
              <w:rPr>
                <w:rFonts w:hint="eastAsia" w:ascii="Times New Roman" w:hAnsi="Times New Roman" w:eastAsia="黑体" w:cs="黑体"/>
                <w:b w:val="0"/>
                <w:bCs/>
                <w:i w:val="0"/>
                <w:color w:val="000000"/>
                <w:kern w:val="0"/>
                <w:sz w:val="28"/>
                <w:szCs w:val="28"/>
                <w:u w:val="none"/>
                <w:lang w:val="en-US" w:eastAsia="zh-CN" w:bidi="ar"/>
              </w:rPr>
              <w:t>序号</w:t>
            </w:r>
          </w:p>
        </w:tc>
        <w:tc>
          <w:tcPr>
            <w:tcW w:w="2433"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kern w:val="0"/>
                <w:sz w:val="28"/>
                <w:szCs w:val="28"/>
                <w:u w:val="none"/>
                <w:lang w:val="en-US" w:eastAsia="zh-CN" w:bidi="ar"/>
              </w:rPr>
            </w:pPr>
            <w:r>
              <w:rPr>
                <w:rFonts w:hint="eastAsia" w:ascii="Times New Roman" w:hAnsi="Times New Roman" w:eastAsia="黑体" w:cs="黑体"/>
                <w:b w:val="0"/>
                <w:bCs/>
                <w:i w:val="0"/>
                <w:color w:val="000000"/>
                <w:kern w:val="0"/>
                <w:sz w:val="28"/>
                <w:szCs w:val="28"/>
                <w:u w:val="none"/>
                <w:lang w:val="en-US" w:eastAsia="zh-CN" w:bidi="ar"/>
              </w:rPr>
              <w:t>违法行为</w:t>
            </w:r>
          </w:p>
        </w:tc>
        <w:tc>
          <w:tcPr>
            <w:tcW w:w="3549"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kern w:val="0"/>
                <w:sz w:val="28"/>
                <w:szCs w:val="28"/>
                <w:u w:val="none"/>
                <w:lang w:val="en-US" w:eastAsia="zh-CN" w:bidi="ar"/>
              </w:rPr>
            </w:pPr>
            <w:r>
              <w:rPr>
                <w:rFonts w:hint="eastAsia" w:ascii="Times New Roman" w:hAnsi="Times New Roman" w:eastAsia="黑体" w:cs="黑体"/>
                <w:b w:val="0"/>
                <w:bCs/>
                <w:i w:val="0"/>
                <w:color w:val="000000"/>
                <w:kern w:val="0"/>
                <w:sz w:val="28"/>
                <w:szCs w:val="28"/>
                <w:u w:val="none"/>
                <w:lang w:val="en-US" w:eastAsia="zh-CN" w:bidi="ar"/>
              </w:rPr>
              <w:t>法律依据</w:t>
            </w:r>
          </w:p>
        </w:tc>
        <w:tc>
          <w:tcPr>
            <w:tcW w:w="3851"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kern w:val="0"/>
                <w:sz w:val="28"/>
                <w:szCs w:val="28"/>
                <w:u w:val="none"/>
                <w:lang w:val="en-US" w:eastAsia="zh-CN" w:bidi="ar"/>
              </w:rPr>
            </w:pPr>
            <w:r>
              <w:rPr>
                <w:rFonts w:hint="eastAsia" w:ascii="Times New Roman" w:hAnsi="Times New Roman" w:eastAsia="黑体" w:cs="黑体"/>
                <w:b w:val="0"/>
                <w:bCs/>
                <w:i w:val="0"/>
                <w:color w:val="000000"/>
                <w:kern w:val="0"/>
                <w:sz w:val="28"/>
                <w:szCs w:val="28"/>
                <w:u w:val="none"/>
                <w:lang w:val="en-US" w:eastAsia="zh-CN" w:bidi="ar"/>
              </w:rPr>
              <w:t>处罚依据</w:t>
            </w:r>
          </w:p>
        </w:tc>
        <w:tc>
          <w:tcPr>
            <w:tcW w:w="2531"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kern w:val="0"/>
                <w:sz w:val="28"/>
                <w:szCs w:val="28"/>
                <w:u w:val="none"/>
                <w:lang w:val="en-US" w:eastAsia="zh-CN" w:bidi="ar"/>
              </w:rPr>
            </w:pPr>
            <w:r>
              <w:rPr>
                <w:rFonts w:hint="eastAsia" w:ascii="Times New Roman" w:hAnsi="Times New Roman" w:eastAsia="黑体" w:cs="黑体"/>
                <w:b w:val="0"/>
                <w:bCs/>
                <w:i w:val="0"/>
                <w:color w:val="000000"/>
                <w:kern w:val="0"/>
                <w:sz w:val="28"/>
                <w:szCs w:val="28"/>
                <w:u w:val="none"/>
                <w:lang w:val="en-US" w:eastAsia="zh-CN" w:bidi="ar"/>
              </w:rPr>
              <w:t>免予处罚适用条件</w:t>
            </w:r>
          </w:p>
        </w:tc>
        <w:tc>
          <w:tcPr>
            <w:tcW w:w="1360" w:type="dxa"/>
            <w:shd w:val="clear" w:color="auto" w:fill="auto"/>
            <w:vAlign w:val="center"/>
          </w:tcPr>
          <w:p>
            <w:pPr>
              <w:keepNext w:val="0"/>
              <w:keepLines/>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黑体" w:cs="黑体"/>
                <w:b w:val="0"/>
                <w:bCs/>
                <w:i w:val="0"/>
                <w:color w:val="000000"/>
                <w:kern w:val="0"/>
                <w:sz w:val="28"/>
                <w:szCs w:val="28"/>
                <w:u w:val="none"/>
                <w:lang w:val="en-US" w:eastAsia="zh-CN" w:bidi="ar"/>
              </w:rPr>
            </w:pPr>
            <w:r>
              <w:rPr>
                <w:rFonts w:hint="eastAsia" w:ascii="Times New Roman" w:hAnsi="Times New Roman" w:eastAsia="黑体" w:cs="黑体"/>
                <w:b w:val="0"/>
                <w:bCs/>
                <w:i w:val="0"/>
                <w:color w:val="000000"/>
                <w:kern w:val="0"/>
                <w:sz w:val="28"/>
                <w:szCs w:val="28"/>
                <w:u w:val="none"/>
                <w:lang w:val="en-US" w:eastAsia="zh-CN" w:bidi="ar"/>
              </w:rPr>
              <w:t>处罚标准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1</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从事实验动物工作的单位没有按照国家有关规定建立伦理审查、风险评估、违规处理等制度的。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《湖南省实验动物管理条例》第四条第二款 从事实验动物工作的单位，应当按照国家有关规定，建立伦理审查、风险评估、违规处理等制度，对涉及实验动物的活动开展独立、公正、科学的伦理审查和监督。</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2</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从事实验动物工作的单位没有对涉及实验动物的活动开展独立、公正、科学的伦理审查和监督的。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《湖南省实验动物管理条例》第四条第二款 从事实验动物工作的单位，应当按照国家有关规定，建立伦理审查、风险评估、违规处理等制度，对涉及实验动物的活动开展独立、公正、科学的伦理审查和监督。</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3</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从事实验动物工作的单位和个人没有利用信息技术等手段对实验动物进行全生命周期溯源管理的。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《湖南省实验动物管理条例》第十一条第一款 从事实验动物工作的单位和个人，应当保障生物安全，利用信息技术等手段对实验动物进行全生命周期溯源管理；建立实验动物安全管理制度，对实验动物进出实验动物环境设施进行登记，防止实验动物逃逸、无关动物进入实验动物环境设施。</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4</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从事实验动物工作的单位和个人没有建立实验动物安全管理制度的。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lang w:val="en-US"/>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《湖南省实验动物管理条例》第十一条第一款 从事实验动物工作的单位和个人，应当保障生物安全，利用信息技术等手段对实验动物进行全生命周期溯源管理；建立实验动物安全管理制度，对实验动物进出实验动物环境设施进行登记，防止实验动物逃逸、无关动物进入实验动物环境设施。</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5</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从事实验动物工作的单位和个人没有对实验动物进出实验动物环境设施进行登记，防止实验动物逃逸、无关动物进入实验动物环境设施的。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《湖南省实验动物管理条例》第十一条第一款 从事实验动物工作的单位和个人，应当保障生物安全，利用信息技术等手段对实验动物进行全生命周期溯源管理；建立实验动物安全管理制度，对实验动物进出实验动物环境设施进行登记，防止实验动物逃逸、无关动物进入实验动物环境设施。</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6</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发现实验动物未经登记被带出生产、实验环境设施或者逃逸，没有及时采取有效措施进行处置并向所在地县级人民政府科学技术主管部门报告的。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《湖南省实验动物管理条例》第十一条第二款 发现实验动物未经登记被带出生产、实验环境设施或者逃逸的，应当及时采取有效措施进行处置，并向所在地县级人民政府科学技术主管部门报告。</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《湖南省实验动物管理条例》第十九条 违反本条例第四条第二款和第十一条第一款、第二款规定的，由县级以上人民政府科学技术主管部门责令改正；拒不改正的，视情节轻重，分别给予警告、暂扣实验动物许可证的处罚。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6"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7</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实验动物许可证已过期，从事实验动物工作的。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《湖南省实验动物管理条例》第六条 从事实验动物工作的单位和个人，应当按照国家和省有关规定取得省人民政府科学技术主管部门颁发的实验动物许可证。实验动物许可证包括实验动物生产许可证和实验动物使用许可证。</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从事实验动物保种、繁育、供应以及实验动物相关产品生产、供应的单位和个人，应当取得实验动物生产许可证，并按照许可范围开展活动，提供相应的合格实验动物以及相关产品。</w:t>
            </w:r>
            <w:r>
              <w:rPr>
                <w:rFonts w:hint="eastAsia" w:ascii="Times New Roman" w:hAnsi="Times New Roman" w:eastAsia="仿宋_GB2312" w:cs="仿宋_GB2312"/>
                <w:i w:val="0"/>
                <w:color w:val="000000"/>
                <w:kern w:val="0"/>
                <w:sz w:val="28"/>
                <w:szCs w:val="28"/>
                <w:u w:val="none"/>
                <w:lang w:val="en-US" w:eastAsia="zh-CN" w:bidi="ar"/>
              </w:rPr>
              <w:br w:type="textWrapping"/>
            </w:r>
            <w:r>
              <w:rPr>
                <w:rFonts w:hint="eastAsia" w:ascii="Times New Roman" w:hAnsi="Times New Roman" w:eastAsia="仿宋_GB2312" w:cs="仿宋_GB2312"/>
                <w:i w:val="0"/>
                <w:color w:val="000000"/>
                <w:kern w:val="0"/>
                <w:sz w:val="28"/>
                <w:szCs w:val="28"/>
                <w:u w:val="none"/>
                <w:lang w:val="en-US" w:eastAsia="zh-CN" w:bidi="ar"/>
              </w:rPr>
              <w:t>利用实验动物从事科研、检定、检验等活动，以及以实验动物为原料或者载体进行相关产品生产、经营的单位和个人，应当取得实验动物使用许可证，并按照许可范围开展活动，使用相应的合格实验动物。任何单位和个人不得涂改、倒卖、出租、出借或者以其他形式非法转让实验动物许可证。</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《湖南省实验动物管理条例》第二十条 违反本条例第六条规定，未取得实验动物许可证或者许可证已过期，从事实验动物工作的，由县级以上人民政府科学技术主管部门责令停止违法行为，给予警告，没收违法所得，可以并处一万元以上五万元以下罚款；违法所得在一万元以上的，可以并处违法所得五倍以上十倍以下罚款。</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实验动物许可证过期不满一个月，并系初次违法且未造成生物安全事故，在限期内改正的。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2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6"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8</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从事实验动物饲育工作的单位，未根据遗传学、微生物学、营养学或饲育环境方面的标准，定期对实验动物进行质量监测的。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《实验动物管理条例》第八条 从事实验动物饲育工作的单位，必须根据遗传学、微生物学、营养学和饲育环境方面的标准，定期对实验动物进行质量监测。各项作业过程和监测数据应有完整、准确的记录，并建立统计报告制度。</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《实验动物管理条例》第二十九条 对违反本条例规定的单位，由管理实验动物工作的部门视情节轻重，分别给予警告、限期改进、责令关闭的行政处罚。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实验动物生产许可证单位不满六个月未根据相关标准对实验动物进行质量监测，并系初次违法且未造成生物安全事</w:t>
            </w:r>
            <w:r>
              <w:rPr>
                <w:rFonts w:hint="eastAsia" w:ascii="Times New Roman" w:hAnsi="Times New Roman" w:eastAsia="仿宋_GB2312" w:cs="仿宋_GB2312"/>
                <w:i w:val="0"/>
                <w:color w:val="000000"/>
                <w:spacing w:val="-17"/>
                <w:kern w:val="0"/>
                <w:sz w:val="28"/>
                <w:szCs w:val="28"/>
                <w:u w:val="none"/>
                <w:lang w:val="en-US" w:eastAsia="zh-CN" w:bidi="ar"/>
              </w:rPr>
              <w:t>故，在限期内改正的。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4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5" w:hRule="atLeast"/>
          <w:jc w:val="center"/>
        </w:trPr>
        <w:tc>
          <w:tcPr>
            <w:tcW w:w="89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9</w:t>
            </w:r>
          </w:p>
        </w:tc>
        <w:tc>
          <w:tcPr>
            <w:tcW w:w="243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使用不安全、不可靠的装运工具运输实验动物，或将不同品种、品系或者不同等级的实验动物混合装运的。</w:t>
            </w:r>
          </w:p>
        </w:tc>
        <w:tc>
          <w:tcPr>
            <w:tcW w:w="354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《实验动物管理条例》第二十一条 实验动物的运输工作应当有专人负责。实验动物的装运工具应当安全、可靠。不得将不同品种、品系或者不同等级的实验动物混合装运。</w:t>
            </w:r>
          </w:p>
        </w:tc>
        <w:tc>
          <w:tcPr>
            <w:tcW w:w="385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《实验动物管理条例》第二十九条 对违反本条例规定的单位，由管理实验动物工作的部门视情节轻重，分别给予警告、限期改进、责令关闭的行政处罚。</w:t>
            </w:r>
          </w:p>
        </w:tc>
        <w:tc>
          <w:tcPr>
            <w:tcW w:w="253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both"/>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初次违法且未造成生物安全事故，在限期内改正的。</w:t>
            </w:r>
          </w:p>
        </w:tc>
        <w:tc>
          <w:tcPr>
            <w:tcW w:w="13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center"/>
              <w:outlineLvl w:val="9"/>
              <w:rPr>
                <w:rFonts w:hint="eastAsia" w:ascii="Times New Roman" w:hAnsi="Times New Roman" w:eastAsia="仿宋_GB2312" w:cs="仿宋_GB2312"/>
                <w:i w:val="0"/>
                <w:color w:val="000000"/>
                <w:sz w:val="28"/>
                <w:szCs w:val="28"/>
                <w:u w:val="none"/>
              </w:rPr>
            </w:pPr>
            <w:r>
              <w:rPr>
                <w:rFonts w:hint="eastAsia" w:ascii="Times New Roman" w:hAnsi="Times New Roman" w:eastAsia="仿宋_GB2312" w:cs="仿宋_GB2312"/>
                <w:i w:val="0"/>
                <w:color w:val="000000"/>
                <w:kern w:val="0"/>
                <w:sz w:val="28"/>
                <w:szCs w:val="28"/>
                <w:u w:val="none"/>
                <w:lang w:val="en-US" w:eastAsia="zh-CN" w:bidi="ar"/>
              </w:rPr>
              <w:t>依法免予处罚。</w:t>
            </w:r>
          </w:p>
        </w:tc>
      </w:tr>
    </w:tbl>
    <w:p>
      <w:pPr>
        <w:keepNext w:val="0"/>
        <w:pageBreakBefore w:val="0"/>
        <w:kinsoku/>
        <w:wordWrap/>
        <w:overflowPunct/>
        <w:topLinePunct w:val="0"/>
        <w:autoSpaceDE/>
        <w:autoSpaceDN/>
        <w:bidi w:val="0"/>
        <w:adjustRightInd/>
        <w:snapToGrid/>
        <w:spacing w:line="600" w:lineRule="exact"/>
        <w:rPr>
          <w:rFonts w:hint="default" w:ascii="Times New Roman" w:hAnsi="Times New Roman"/>
          <w:lang w:val="en-US" w:eastAsia="zh-CN"/>
        </w:rPr>
      </w:pPr>
      <w:r>
        <w:rPr>
          <w:rFonts w:hint="eastAsia" w:ascii="Times New Roman" w:hAnsi="Times New Roman" w:eastAsia="仿宋_GB2312" w:cs="仿宋_GB2312"/>
          <w:sz w:val="28"/>
          <w:szCs w:val="28"/>
          <w:lang w:val="en" w:eastAsia="zh-CN"/>
        </w:rPr>
        <w:t>注：</w:t>
      </w:r>
      <w:r>
        <w:rPr>
          <w:rFonts w:hint="eastAsia" w:ascii="Times New Roman" w:hAnsi="Times New Roman" w:eastAsia="仿宋_GB2312" w:cs="仿宋_GB2312"/>
          <w:sz w:val="28"/>
          <w:szCs w:val="28"/>
          <w:lang w:val="en-US" w:eastAsia="zh-CN"/>
        </w:rPr>
        <w:t>1.</w:t>
      </w:r>
      <w:r>
        <w:rPr>
          <w:rFonts w:hint="eastAsia" w:ascii="Times New Roman" w:hAnsi="Times New Roman" w:eastAsia="仿宋_GB2312" w:cs="仿宋_GB2312"/>
          <w:sz w:val="28"/>
          <w:szCs w:val="28"/>
          <w:lang w:val="en" w:eastAsia="zh-CN"/>
        </w:rPr>
        <w:t>责令当事人改正违法行为的期限一般不超过三十日。</w:t>
      </w:r>
      <w:r>
        <w:rPr>
          <w:rFonts w:hint="eastAsia" w:ascii="Times New Roman" w:hAnsi="Times New Roman" w:eastAsia="仿宋_GB2312" w:cs="仿宋_GB2312"/>
          <w:sz w:val="28"/>
          <w:szCs w:val="28"/>
          <w:lang w:val="en-US" w:eastAsia="zh-CN"/>
        </w:rPr>
        <w:t>2.本清单中不满、超过不包括本数。</w:t>
      </w:r>
    </w:p>
    <w:sectPr>
      <w:pgSz w:w="16838" w:h="11906" w:orient="landscape"/>
      <w:pgMar w:top="1587" w:right="1440" w:bottom="1361" w:left="1440" w:header="992" w:footer="1276"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仿宋"/>
    <w:panose1 w:val="00000000000000000000"/>
    <w:charset w:val="00"/>
    <w:family w:val="auto"/>
    <w:pitch w:val="default"/>
    <w:sig w:usb0="00000000" w:usb1="00000000" w:usb2="00000000" w:usb3="00000000" w:csb0="00040001" w:csb1="00000000"/>
  </w:font>
  <w:font w:name="Calibri Light">
    <w:altName w:val="DejaVu Sans"/>
    <w:panose1 w:val="020F0302020204030204"/>
    <w:charset w:val="00"/>
    <w:family w:val="swiss"/>
    <w:pitch w:val="default"/>
    <w:sig w:usb0="00000000" w:usb1="00000000" w:usb2="00000000" w:usb3="00000000" w:csb0="2000019F" w:csb1="00000000"/>
  </w:font>
  <w:font w:name="方正大标宋简体">
    <w:altName w:val="宋体"/>
    <w:panose1 w:val="02010601030101010101"/>
    <w:charset w:val="86"/>
    <w:family w:val="auto"/>
    <w:pitch w:val="default"/>
    <w:sig w:usb0="00000000" w:usb1="00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default" w:ascii="Times New Roman" w:hAnsi="Times New Roman" w:cs="Times New Roman"/>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r>
                            <w:rPr>
                              <w:rFonts w:hint="eastAsia" w:ascii="宋体" w:hAnsi="宋体" w:eastAsia="宋体" w:cs="宋体"/>
                              <w:sz w:val="28"/>
                              <w:szCs w:val="28"/>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11"/>
                      <w:rPr>
                        <w:rFonts w:hint="default" w:ascii="Times New Roman" w:hAnsi="Times New Roman" w:cs="Times New Roman"/>
                        <w:sz w:val="28"/>
                        <w:szCs w:val="28"/>
                      </w:rPr>
                    </w:pPr>
                    <w:r>
                      <w:rPr>
                        <w:rFonts w:hint="eastAsia" w:ascii="宋体" w:hAnsi="宋体" w:eastAsia="宋体" w:cs="宋体"/>
                        <w:sz w:val="28"/>
                        <w:szCs w:val="28"/>
                      </w:rPr>
                      <w:t>－</w:t>
                    </w:r>
                    <w:r>
                      <w:rPr>
                        <w:rFonts w:hint="eastAsia" w:ascii="宋体" w:hAnsi="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eastAsia" w:ascii="Times New Roman" w:hAnsi="Times New Roman" w:cs="Times New Roman"/>
                        <w:sz w:val="28"/>
                        <w:szCs w:val="28"/>
                        <w:lang w:val="en-US" w:eastAsia="zh-CN"/>
                      </w:rPr>
                      <w:t xml:space="preserve"> </w:t>
                    </w:r>
                    <w:r>
                      <w:rPr>
                        <w:rFonts w:hint="eastAsia" w:ascii="宋体" w:hAnsi="宋体" w:eastAsia="宋体" w:cs="宋体"/>
                        <w:sz w:val="28"/>
                        <w:szCs w:val="28"/>
                      </w:rPr>
                      <w:t>－</w:t>
                    </w:r>
                  </w:p>
                </w:txbxContent>
              </v:textbox>
            </v:shape>
          </w:pict>
        </mc:Fallback>
      </mc:AlternateContent>
    </w: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1"/>
                          </w:pPr>
                        </w:p>
                      </w:txbxContent>
                    </wps:txbx>
                    <wps:bodyPr wrap="none" lIns="0" tIns="0" rIns="0" bIns="0" upright="false">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K+n0du1AQAAVQMAAA4AAAAAAAAAAQAgAAAANAEAAGRycy9lMm9E&#10;b2MueG1sUEsFBgAAAAAGAAYAWQEAAFsFAAAAAA==&#10;">
              <v:fill on="f" focussize="0,0"/>
              <v:stroke on="f"/>
              <v:imagedata o:title=""/>
              <o:lock v:ext="edit" aspectratio="f"/>
              <v:textbox inset="0mm,0mm,0mm,0mm" style="mso-fit-shape-to-text:t;">
                <w:txbxContent>
                  <w:p>
                    <w:pPr>
                      <w:pStyle w:val="11"/>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9"/>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648EE"/>
    <w:rsid w:val="03EC04BC"/>
    <w:rsid w:val="078BFACA"/>
    <w:rsid w:val="07EA4B73"/>
    <w:rsid w:val="07ED30DE"/>
    <w:rsid w:val="07FF251D"/>
    <w:rsid w:val="0A67091B"/>
    <w:rsid w:val="0A7F5E76"/>
    <w:rsid w:val="0B227AC5"/>
    <w:rsid w:val="0B942595"/>
    <w:rsid w:val="0E913C0F"/>
    <w:rsid w:val="0EBEF614"/>
    <w:rsid w:val="0EF7DAAB"/>
    <w:rsid w:val="0F4E4AAB"/>
    <w:rsid w:val="0F6E8042"/>
    <w:rsid w:val="0F9FCB36"/>
    <w:rsid w:val="159713E4"/>
    <w:rsid w:val="177559C0"/>
    <w:rsid w:val="17FBF7E6"/>
    <w:rsid w:val="1D5AD3A1"/>
    <w:rsid w:val="1DEFD3E4"/>
    <w:rsid w:val="2157206F"/>
    <w:rsid w:val="24E55659"/>
    <w:rsid w:val="26BF5396"/>
    <w:rsid w:val="27BFC398"/>
    <w:rsid w:val="27CD3D4A"/>
    <w:rsid w:val="27DC5F9F"/>
    <w:rsid w:val="29827DAC"/>
    <w:rsid w:val="2BAB6D3C"/>
    <w:rsid w:val="2BBF7BA9"/>
    <w:rsid w:val="2DA2263F"/>
    <w:rsid w:val="2FBFF471"/>
    <w:rsid w:val="2FFA72B9"/>
    <w:rsid w:val="2FFF96A7"/>
    <w:rsid w:val="2FFFEE16"/>
    <w:rsid w:val="325F454A"/>
    <w:rsid w:val="32F77AD7"/>
    <w:rsid w:val="33783AF0"/>
    <w:rsid w:val="33A7106C"/>
    <w:rsid w:val="35FECFB4"/>
    <w:rsid w:val="362E01CD"/>
    <w:rsid w:val="36F37E0F"/>
    <w:rsid w:val="36FC1A13"/>
    <w:rsid w:val="36FF6B6C"/>
    <w:rsid w:val="37462F27"/>
    <w:rsid w:val="379666E0"/>
    <w:rsid w:val="37F9D97A"/>
    <w:rsid w:val="3848779A"/>
    <w:rsid w:val="38719993"/>
    <w:rsid w:val="3A365900"/>
    <w:rsid w:val="3D1F80A6"/>
    <w:rsid w:val="3EAB0813"/>
    <w:rsid w:val="3F772161"/>
    <w:rsid w:val="3F7FCCE4"/>
    <w:rsid w:val="3FCD8153"/>
    <w:rsid w:val="3FFB1DFC"/>
    <w:rsid w:val="412C66B3"/>
    <w:rsid w:val="416C4EE7"/>
    <w:rsid w:val="41BF54BA"/>
    <w:rsid w:val="434A22D5"/>
    <w:rsid w:val="482823D3"/>
    <w:rsid w:val="4FF9361A"/>
    <w:rsid w:val="4FFF650B"/>
    <w:rsid w:val="53277C63"/>
    <w:rsid w:val="579AB23B"/>
    <w:rsid w:val="57FEB94F"/>
    <w:rsid w:val="59FDD1D5"/>
    <w:rsid w:val="5BE677BD"/>
    <w:rsid w:val="5BEFA351"/>
    <w:rsid w:val="5D6D44CD"/>
    <w:rsid w:val="5D801B88"/>
    <w:rsid w:val="5DB54684"/>
    <w:rsid w:val="5DEA4A8A"/>
    <w:rsid w:val="5EB9915E"/>
    <w:rsid w:val="5EDEB60C"/>
    <w:rsid w:val="5F7FAB86"/>
    <w:rsid w:val="5F7FFFF0"/>
    <w:rsid w:val="5FF7989C"/>
    <w:rsid w:val="5FFF6A98"/>
    <w:rsid w:val="61BA95EF"/>
    <w:rsid w:val="637FAB1B"/>
    <w:rsid w:val="63BB794D"/>
    <w:rsid w:val="653F05C4"/>
    <w:rsid w:val="66B05D0B"/>
    <w:rsid w:val="67F6CC12"/>
    <w:rsid w:val="691DB89B"/>
    <w:rsid w:val="6B9FA73B"/>
    <w:rsid w:val="6CBEC9C3"/>
    <w:rsid w:val="6D7B28EF"/>
    <w:rsid w:val="6DFC8119"/>
    <w:rsid w:val="6EF1CFEB"/>
    <w:rsid w:val="6F07FC78"/>
    <w:rsid w:val="6F736631"/>
    <w:rsid w:val="6F7FB14D"/>
    <w:rsid w:val="6FA71492"/>
    <w:rsid w:val="6FEF5A4F"/>
    <w:rsid w:val="707624F8"/>
    <w:rsid w:val="7177F2E1"/>
    <w:rsid w:val="72167B5D"/>
    <w:rsid w:val="72193252"/>
    <w:rsid w:val="72A55139"/>
    <w:rsid w:val="73153693"/>
    <w:rsid w:val="74FF6F72"/>
    <w:rsid w:val="7557851E"/>
    <w:rsid w:val="756F1469"/>
    <w:rsid w:val="75BBB428"/>
    <w:rsid w:val="763F4275"/>
    <w:rsid w:val="76FF100D"/>
    <w:rsid w:val="77B86A4F"/>
    <w:rsid w:val="77F96684"/>
    <w:rsid w:val="79BD370A"/>
    <w:rsid w:val="79D72829"/>
    <w:rsid w:val="79FE85C2"/>
    <w:rsid w:val="7A6EE15A"/>
    <w:rsid w:val="7A6F8770"/>
    <w:rsid w:val="7AAF8552"/>
    <w:rsid w:val="7AFF1367"/>
    <w:rsid w:val="7B3FF86F"/>
    <w:rsid w:val="7BB499F3"/>
    <w:rsid w:val="7BD7C907"/>
    <w:rsid w:val="7BDF202B"/>
    <w:rsid w:val="7BFE5225"/>
    <w:rsid w:val="7BFFC22A"/>
    <w:rsid w:val="7D17972B"/>
    <w:rsid w:val="7D3D7CEB"/>
    <w:rsid w:val="7D6F424D"/>
    <w:rsid w:val="7D8FB51F"/>
    <w:rsid w:val="7DFB837D"/>
    <w:rsid w:val="7DFDD73F"/>
    <w:rsid w:val="7DFEBD26"/>
    <w:rsid w:val="7DFF8E84"/>
    <w:rsid w:val="7E39072D"/>
    <w:rsid w:val="7E7CED7E"/>
    <w:rsid w:val="7E8F3AAC"/>
    <w:rsid w:val="7EA9AAFA"/>
    <w:rsid w:val="7EB502F6"/>
    <w:rsid w:val="7ECFF88F"/>
    <w:rsid w:val="7EE47A07"/>
    <w:rsid w:val="7F763416"/>
    <w:rsid w:val="7F7F2B17"/>
    <w:rsid w:val="7F892629"/>
    <w:rsid w:val="7FBA6BE2"/>
    <w:rsid w:val="7FBFAD73"/>
    <w:rsid w:val="7FF76D48"/>
    <w:rsid w:val="7FFE0106"/>
    <w:rsid w:val="7FFEF234"/>
    <w:rsid w:val="7FFF6A4B"/>
    <w:rsid w:val="7FFF9F60"/>
    <w:rsid w:val="83BD0B8D"/>
    <w:rsid w:val="8EEFEB1A"/>
    <w:rsid w:val="8FCB1595"/>
    <w:rsid w:val="9DF7A329"/>
    <w:rsid w:val="9EFBF180"/>
    <w:rsid w:val="9FC4191C"/>
    <w:rsid w:val="9FDDB86E"/>
    <w:rsid w:val="9FFF3723"/>
    <w:rsid w:val="A15FB0AC"/>
    <w:rsid w:val="A3AF3DCA"/>
    <w:rsid w:val="ABCA62C2"/>
    <w:rsid w:val="AF6B339B"/>
    <w:rsid w:val="AF7D5308"/>
    <w:rsid w:val="AFE98EEB"/>
    <w:rsid w:val="AFEB7FE0"/>
    <w:rsid w:val="B7A71982"/>
    <w:rsid w:val="B7B5B931"/>
    <w:rsid w:val="BBFB1A79"/>
    <w:rsid w:val="BBFE2EBA"/>
    <w:rsid w:val="BCD7D983"/>
    <w:rsid w:val="BCE7F2F4"/>
    <w:rsid w:val="BCFFD729"/>
    <w:rsid w:val="BDFF1D27"/>
    <w:rsid w:val="BFBA68BC"/>
    <w:rsid w:val="BFD76278"/>
    <w:rsid w:val="BFFDDF93"/>
    <w:rsid w:val="BFFE6247"/>
    <w:rsid w:val="BFFF680A"/>
    <w:rsid w:val="C1F5D10A"/>
    <w:rsid w:val="C3FE51CD"/>
    <w:rsid w:val="CDEF2E89"/>
    <w:rsid w:val="CE42BA75"/>
    <w:rsid w:val="CE7C2236"/>
    <w:rsid w:val="CEF73258"/>
    <w:rsid w:val="CEF7EE44"/>
    <w:rsid w:val="CFFFB046"/>
    <w:rsid w:val="D39D984D"/>
    <w:rsid w:val="D77F8A46"/>
    <w:rsid w:val="D77FCE16"/>
    <w:rsid w:val="D7BD1D17"/>
    <w:rsid w:val="D7F3A4B9"/>
    <w:rsid w:val="D9BB2DB5"/>
    <w:rsid w:val="DBBF5149"/>
    <w:rsid w:val="DEDFB6A9"/>
    <w:rsid w:val="DF7DD9F6"/>
    <w:rsid w:val="DFBD0E49"/>
    <w:rsid w:val="DFFC538F"/>
    <w:rsid w:val="DFFD2C9B"/>
    <w:rsid w:val="DFFF23FC"/>
    <w:rsid w:val="E57C27EA"/>
    <w:rsid w:val="E76F7530"/>
    <w:rsid w:val="E7EEE3EB"/>
    <w:rsid w:val="E97BE1B3"/>
    <w:rsid w:val="EA8F2E71"/>
    <w:rsid w:val="EAFC8711"/>
    <w:rsid w:val="EDF7EA99"/>
    <w:rsid w:val="EE6FD3F0"/>
    <w:rsid w:val="EEDBE95E"/>
    <w:rsid w:val="EFB7992B"/>
    <w:rsid w:val="EFB79D39"/>
    <w:rsid w:val="EFDED0C1"/>
    <w:rsid w:val="EFFFFDF1"/>
    <w:rsid w:val="F1E261C4"/>
    <w:rsid w:val="F1EF1009"/>
    <w:rsid w:val="F2CF56B2"/>
    <w:rsid w:val="F3E7B43A"/>
    <w:rsid w:val="F3FDBC4E"/>
    <w:rsid w:val="F4E7B7A9"/>
    <w:rsid w:val="F5BF99C5"/>
    <w:rsid w:val="F5EB8AF6"/>
    <w:rsid w:val="F5FF84FA"/>
    <w:rsid w:val="F6292311"/>
    <w:rsid w:val="F7AFF5DA"/>
    <w:rsid w:val="F7DE00DD"/>
    <w:rsid w:val="F7FF0331"/>
    <w:rsid w:val="FB3B559E"/>
    <w:rsid w:val="FBA71F31"/>
    <w:rsid w:val="FBAEC801"/>
    <w:rsid w:val="FBD31079"/>
    <w:rsid w:val="FBDF504E"/>
    <w:rsid w:val="FBEB168E"/>
    <w:rsid w:val="FBFB3409"/>
    <w:rsid w:val="FBFFF31D"/>
    <w:rsid w:val="FD3DBA5C"/>
    <w:rsid w:val="FDF57C80"/>
    <w:rsid w:val="FDF76047"/>
    <w:rsid w:val="FDFBF97F"/>
    <w:rsid w:val="FDFE4568"/>
    <w:rsid w:val="FE7F985A"/>
    <w:rsid w:val="FEBEA33B"/>
    <w:rsid w:val="FEFD1F07"/>
    <w:rsid w:val="FF47864C"/>
    <w:rsid w:val="FF5F3F14"/>
    <w:rsid w:val="FF7BC209"/>
    <w:rsid w:val="FF7F2DD7"/>
    <w:rsid w:val="FFBB6B12"/>
    <w:rsid w:val="FFBBEFB3"/>
    <w:rsid w:val="FFCBAFE3"/>
    <w:rsid w:val="FFD5A2D5"/>
    <w:rsid w:val="FFDEB634"/>
    <w:rsid w:val="FFEF450D"/>
    <w:rsid w:val="FFF94B6A"/>
    <w:rsid w:val="FFFDD0B2"/>
    <w:rsid w:val="FFFDEF9B"/>
    <w:rsid w:val="FFFF3559"/>
    <w:rsid w:val="FFFF4080"/>
    <w:rsid w:val="FFFF474D"/>
    <w:rsid w:val="FFFF7C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宋体" w:cs="Times New Roman"/>
    </w:rPr>
  </w:style>
  <w:style w:type="paragraph" w:styleId="5">
    <w:name w:val="toa heading"/>
    <w:basedOn w:val="1"/>
    <w:next w:val="1"/>
    <w:qFormat/>
    <w:uiPriority w:val="0"/>
    <w:pPr>
      <w:widowControl w:val="0"/>
      <w:jc w:val="both"/>
    </w:pPr>
    <w:rPr>
      <w:rFonts w:ascii="Arial" w:hAnsi="Arial" w:eastAsia="宋体" w:cs="Times New Roman"/>
      <w:kern w:val="2"/>
      <w:sz w:val="24"/>
      <w:szCs w:val="32"/>
      <w:lang w:val="en-US" w:eastAsia="zh-CN" w:bidi="ar-SA"/>
    </w:rPr>
  </w:style>
  <w:style w:type="paragraph" w:styleId="6">
    <w:name w:val="Body Text"/>
    <w:basedOn w:val="1"/>
    <w:next w:val="7"/>
    <w:qFormat/>
    <w:uiPriority w:val="0"/>
    <w:pPr>
      <w:spacing w:line="640" w:lineRule="exact"/>
      <w:jc w:val="center"/>
    </w:pPr>
    <w:rPr>
      <w:sz w:val="44"/>
      <w:szCs w:val="44"/>
    </w:rPr>
  </w:style>
  <w:style w:type="paragraph" w:styleId="7">
    <w:name w:val="toc 5"/>
    <w:basedOn w:val="1"/>
    <w:next w:val="1"/>
    <w:unhideWhenUsed/>
    <w:qFormat/>
    <w:uiPriority w:val="39"/>
    <w:pPr>
      <w:ind w:left="1680" w:leftChars="800"/>
    </w:pPr>
    <w:rPr>
      <w:rFonts w:ascii="等线" w:hAnsi="等线" w:eastAsia="等线" w:cs="Times New Roman"/>
      <w:szCs w:val="22"/>
    </w:rPr>
  </w:style>
  <w:style w:type="paragraph" w:styleId="8">
    <w:name w:val="Body Text Indent"/>
    <w:basedOn w:val="1"/>
    <w:qFormat/>
    <w:uiPriority w:val="0"/>
    <w:pPr>
      <w:spacing w:after="120"/>
      <w:ind w:left="420" w:leftChars="200"/>
    </w:pPr>
  </w:style>
  <w:style w:type="paragraph" w:styleId="9">
    <w:name w:val="Date"/>
    <w:basedOn w:val="1"/>
    <w:next w:val="1"/>
    <w:qFormat/>
    <w:uiPriority w:val="0"/>
    <w:pPr>
      <w:widowControl w:val="0"/>
      <w:ind w:left="100" w:leftChars="2500"/>
      <w:jc w:val="both"/>
    </w:pPr>
    <w:rPr>
      <w:rFonts w:ascii="Calibri" w:hAnsi="Calibri" w:eastAsia="宋体" w:cs="Times New Roman"/>
      <w:kern w:val="2"/>
      <w:sz w:val="32"/>
      <w:szCs w:val="32"/>
      <w:lang w:val="en-US" w:eastAsia="zh-CN" w:bidi="ar-SA"/>
    </w:rPr>
  </w:style>
  <w:style w:type="paragraph" w:styleId="10">
    <w:name w:val="endnote text"/>
    <w:basedOn w:val="1"/>
    <w:next w:val="9"/>
    <w:qFormat/>
    <w:uiPriority w:val="0"/>
    <w:pPr>
      <w:snapToGrid w:val="0"/>
      <w:jc w:val="left"/>
    </w:pPr>
  </w:style>
  <w:style w:type="paragraph" w:styleId="11">
    <w:name w:val="footer"/>
    <w:basedOn w:val="1"/>
    <w:unhideWhenUsed/>
    <w:qFormat/>
    <w:uiPriority w:val="99"/>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qFormat/>
    <w:uiPriority w:val="0"/>
    <w:pPr>
      <w:widowControl/>
      <w:spacing w:before="100" w:beforeAutospacing="1" w:after="100" w:afterAutospacing="1"/>
      <w:jc w:val="left"/>
    </w:pPr>
    <w:rPr>
      <w:rFonts w:ascii="宋体" w:hAnsi="宋体" w:eastAsia="宋体" w:cs="宋体"/>
      <w:kern w:val="0"/>
      <w:sz w:val="24"/>
      <w:szCs w:val="32"/>
      <w:lang w:val="en-US" w:eastAsia="zh-CN" w:bidi="ar-SA"/>
    </w:rPr>
  </w:style>
  <w:style w:type="paragraph" w:styleId="14">
    <w:name w:val="Body Text First Indent 2"/>
    <w:basedOn w:val="8"/>
    <w:qFormat/>
    <w:uiPriority w:val="0"/>
    <w:pPr>
      <w:ind w:firstLine="420" w:firstLineChars="200"/>
    </w:pPr>
    <w:rPr>
      <w:rFonts w:ascii="等线" w:hAnsi="等线" w:eastAsia="等线" w:cs="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0"/>
    <w:rPr>
      <w:b/>
    </w:rPr>
  </w:style>
  <w:style w:type="character" w:styleId="19">
    <w:name w:val="page number"/>
    <w:basedOn w:val="17"/>
    <w:unhideWhenUsed/>
    <w:qFormat/>
    <w:uiPriority w:val="99"/>
  </w:style>
  <w:style w:type="paragraph" w:customStyle="1" w:styleId="20">
    <w:name w:val="Heading2"/>
    <w:basedOn w:val="1"/>
    <w:next w:val="1"/>
    <w:qFormat/>
    <w:uiPriority w:val="0"/>
    <w:pPr>
      <w:keepNext/>
      <w:keepLines/>
      <w:spacing w:line="416" w:lineRule="auto"/>
      <w:textAlignment w:val="baseline"/>
    </w:pPr>
    <w:rPr>
      <w:rFonts w:ascii="Calibri Light" w:hAnsi="Calibri Light" w:cs="Calibri Light"/>
      <w:b/>
      <w:bCs/>
      <w:sz w:val="32"/>
      <w:szCs w:val="32"/>
    </w:rPr>
  </w:style>
  <w:style w:type="paragraph" w:customStyle="1" w:styleId="21">
    <w:name w:val="列表段落1"/>
    <w:basedOn w:val="1"/>
    <w:qFormat/>
    <w:uiPriority w:val="34"/>
    <w:pPr>
      <w:ind w:firstLine="420" w:firstLineChars="200"/>
    </w:pPr>
    <w:rPr>
      <w:rFonts w:cs="Times New Roman"/>
    </w:rPr>
  </w:style>
  <w:style w:type="paragraph" w:customStyle="1"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2014-11-18T04:08:00Z</dcterms:created>
  <dc:creator>Administrator</dc:creator>
  <cp:lastModifiedBy>邓志伟</cp:lastModifiedBy>
  <cp:lastPrinted>2013-01-01T01:07:00Z</cp:lastPrinted>
  <dcterms:modified xsi:type="dcterms:W3CDTF">2025-04-17T11:34:58Z</dcterms:modified>
  <dc:title>办文说明</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